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E1C51">
      <w:pPr>
        <w:jc w:val="left"/>
        <w:rPr>
          <w:rFonts w:hint="eastAsia" w:asciiTheme="minorEastAsia" w:hAnsiTheme="minorEastAsia" w:eastAsiaTheme="minorEastAsia" w:cstheme="minorEastAsia"/>
          <w:b/>
          <w:bCs/>
          <w:szCs w:val="21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bookmarkStart w:id="0" w:name="_Toc369597864"/>
      <w:r>
        <w:rPr>
          <w:rFonts w:hint="eastAsia" w:asciiTheme="minorEastAsia" w:hAnsiTheme="minorEastAsia" w:eastAsiaTheme="minorEastAsia" w:cstheme="minorEastAsia"/>
          <w:b/>
          <w:bCs/>
          <w:szCs w:val="21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 xml:space="preserve">ICS   11.020 </w:t>
      </w:r>
    </w:p>
    <w:p w14:paraId="4E257747">
      <w:pPr>
        <w:jc w:val="left"/>
        <w:rPr>
          <w:rFonts w:hint="eastAsia" w:asciiTheme="minorEastAsia" w:hAnsiTheme="minorEastAsia" w:eastAsiaTheme="minorEastAsia" w:cstheme="minorEastAsia"/>
          <w:b/>
          <w:bCs/>
          <w:szCs w:val="21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szCs w:val="21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CCS  C 05</w:t>
      </w:r>
    </w:p>
    <w:p w14:paraId="3CFDF505">
      <w:pPr>
        <w:ind w:firstLine="2730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  <w:r>
        <w:rPr>
          <w:rFonts w:hint="eastAsia"/>
          <w:position w:val="-13"/>
        </w:rPr>
        <w:t xml:space="preserve">                                      </w:t>
      </w:r>
      <w:r>
        <w:rPr>
          <w:position w:val="-13"/>
        </w:rPr>
        <w:drawing>
          <wp:inline distT="0" distB="0" distL="0" distR="0">
            <wp:extent cx="414655" cy="429895"/>
            <wp:effectExtent l="0" t="0" r="4445" b="8255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430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32020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8"/>
          <w:szCs w:val="48"/>
        </w:rPr>
        <w:t>团       体       标         准</w:t>
      </w:r>
    </w:p>
    <w:p w14:paraId="19A0CB64">
      <w:pPr>
        <w:ind w:firstLine="5060" w:firstLineChars="18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  <w:t>T/XXX XXXX—XXXX</w:t>
      </w:r>
    </w:p>
    <w:p w14:paraId="32EBB616">
      <w:pPr>
        <w:spacing w:line="246" w:lineRule="auto"/>
        <w:rPr>
          <w:rFonts w:ascii="Arial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-502920</wp:posOffset>
                </wp:positionH>
                <wp:positionV relativeFrom="paragraph">
                  <wp:posOffset>86360</wp:posOffset>
                </wp:positionV>
                <wp:extent cx="6120130" cy="9525"/>
                <wp:effectExtent l="0" t="0" r="0" b="0"/>
                <wp:wrapNone/>
                <wp:docPr id="4" name="任意多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637" h="15">
                              <a:moveTo>
                                <a:pt x="0" y="7"/>
                              </a:moveTo>
                              <a:lnTo>
                                <a:pt x="9637" y="7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39.6pt;margin-top:6.8pt;height:0.75pt;width:481.9pt;z-index:251660288;mso-width-relative:page;mso-height-relative:page;" filled="f" stroked="t" coordsize="9637,15" o:gfxdata="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P3Z6L2QAAAAkBAAAPAAAAAAAAAAEAIAAAACIAAABkcnMvZG93&#10;bnJldi54bWxQSwECFAAUAAAACACHTuJAB6+rYjgCAACtBAAADgAAAAAAAAABACAAAAAoAQAAZHJz&#10;L2Uyb0RvYy54bWxQSwUGAAAAAAYABgBZAQAA0gUAAAAA&#10;" path="m0,7l9637,7e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6BFB7798">
      <w:pPr>
        <w:ind w:firstLine="5060" w:firstLineChars="18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6F328044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528EFB6C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4830A941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  <w:r>
        <w:rPr>
          <w:rFonts w:hint="eastAsia" w:ascii="黑体" w:hAnsi="黑体" w:eastAsia="黑体" w:cs="黑体"/>
          <w:sz w:val="52"/>
          <w:szCs w:val="52"/>
          <w:lang w:eastAsia="zh-CN"/>
        </w:rPr>
        <w:t>头痛</w:t>
      </w:r>
      <w:r>
        <w:rPr>
          <w:rFonts w:hint="eastAsia" w:ascii="黑体" w:hAnsi="黑体" w:eastAsia="黑体" w:cs="黑体"/>
          <w:sz w:val="52"/>
          <w:szCs w:val="52"/>
        </w:rPr>
        <w:t>（</w:t>
      </w:r>
      <w:r>
        <w:rPr>
          <w:rFonts w:hint="eastAsia" w:ascii="黑体" w:hAnsi="黑体" w:eastAsia="黑体" w:cs="黑体"/>
          <w:sz w:val="52"/>
          <w:szCs w:val="52"/>
          <w:lang w:eastAsia="zh-CN"/>
        </w:rPr>
        <w:t>偏头痛</w:t>
      </w:r>
      <w:r>
        <w:rPr>
          <w:rFonts w:hint="eastAsia" w:ascii="黑体" w:hAnsi="黑体" w:eastAsia="黑体" w:cs="黑体"/>
          <w:sz w:val="52"/>
          <w:szCs w:val="52"/>
        </w:rPr>
        <w:t>）</w:t>
      </w:r>
      <w:r>
        <w:rPr>
          <w:rFonts w:hint="eastAsia" w:ascii="黑体" w:hAnsi="黑体" w:eastAsia="黑体" w:cs="黑体"/>
          <w:sz w:val="52"/>
          <w:szCs w:val="52"/>
          <w:lang w:eastAsia="zh-CN"/>
        </w:rPr>
        <w:t>朝医</w:t>
      </w:r>
      <w:r>
        <w:rPr>
          <w:rFonts w:hint="eastAsia" w:ascii="黑体" w:hAnsi="黑体" w:eastAsia="黑体" w:cs="黑体"/>
          <w:sz w:val="52"/>
          <w:szCs w:val="52"/>
        </w:rPr>
        <w:t>诊疗方案</w:t>
      </w:r>
    </w:p>
    <w:p w14:paraId="45CB2418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</w:rPr>
      </w:pPr>
    </w:p>
    <w:p w14:paraId="19E42942"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  <w:lang w:val="en-US" w:eastAsia="zh-CN"/>
        </w:rPr>
        <w:t>Headache (Migraine) T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</w:rPr>
        <w:t xml:space="preserve">raditional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  <w:lang w:val="en-US" w:eastAsia="zh-CN"/>
        </w:rPr>
        <w:t>Chao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</w:rPr>
        <w:t xml:space="preserve"> Medicine Treatment Protocol</w:t>
      </w:r>
    </w:p>
    <w:p w14:paraId="6C704843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54D75B0B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0115CD7A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sz w:val="28"/>
          <w:szCs w:val="22"/>
        </w:rPr>
        <w:t>（送审稿）</w:t>
      </w:r>
    </w:p>
    <w:p w14:paraId="51C3866B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291DAA18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-588645</wp:posOffset>
                </wp:positionH>
                <wp:positionV relativeFrom="paragraph">
                  <wp:posOffset>339725</wp:posOffset>
                </wp:positionV>
                <wp:extent cx="6120130" cy="9525"/>
                <wp:effectExtent l="0" t="0" r="0" b="0"/>
                <wp:wrapNone/>
                <wp:docPr id="5" name="任意多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637" h="15">
                              <a:moveTo>
                                <a:pt x="0" y="7"/>
                              </a:moveTo>
                              <a:lnTo>
                                <a:pt x="9637" y="7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46.35pt;margin-top:26.75pt;height:0.75pt;width:481.9pt;z-index:251661312;mso-width-relative:page;mso-height-relative:page;" filled="f" stroked="t" coordsize="9637,15" o:gfxdata="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AJRfK2QAAAAkBAAAPAAAAAAAAAAEAIAAAACIAAABkcnMvZG93&#10;bnJldi54bWxQSwECFAAUAAAACACHTuJAwA+LvDgCAACtBAAADgAAAAAAAAABACAAAAAoAQAAZHJz&#10;L2Uyb0RvYy54bWxQSwUGAAAAAAYABgBZAQAA0gUAAAAA&#10;" path="m0,7l9637,7e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  <w:t>XXXX - XX - XX 发布            XXXX - XX - XX 实施</w:t>
      </w:r>
    </w:p>
    <w:p w14:paraId="51D67816">
      <w:pPr>
        <w:spacing w:line="254" w:lineRule="auto"/>
        <w:rPr>
          <w:rFonts w:ascii="Arial"/>
        </w:rPr>
      </w:pPr>
    </w:p>
    <w:p w14:paraId="6AE87E6F">
      <w:pPr>
        <w:ind w:firstLine="3654" w:firstLineChars="130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0DBFDC73">
      <w:pPr>
        <w:ind w:firstLine="1968" w:firstLineChars="700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2"/>
        </w:rPr>
        <w:t>中国民族医药学会    发 布</w:t>
      </w:r>
    </w:p>
    <w:p w14:paraId="2A1B6326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30097584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B5487AD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sdt>
      <w:sdtPr>
        <w:rPr>
          <w:rFonts w:ascii="宋体" w:hAnsi="宋体"/>
        </w:rPr>
        <w:id w:val="147452161"/>
        <w15:color w:val="DBDBDB"/>
        <w:docPartObj>
          <w:docPartGallery w:val="Table of Contents"/>
          <w:docPartUnique/>
        </w:docPartObj>
      </w:sdtPr>
      <w:sdtEndPr>
        <w:rPr>
          <w:rFonts w:hint="eastAsia" w:asciiTheme="minorEastAsia" w:hAnsiTheme="minorEastAsia" w:eastAsiaTheme="minorEastAsia" w:cstheme="minorEastAsia"/>
          <w:bCs/>
          <w:szCs w:val="22"/>
        </w:rPr>
      </w:sdtEndPr>
      <w:sdtContent>
        <w:p w14:paraId="5B611845">
          <w:pPr>
            <w:jc w:val="center"/>
          </w:pPr>
          <w:r>
            <w:rPr>
              <w:rFonts w:ascii="宋体" w:hAnsi="宋体"/>
            </w:rPr>
            <w:t>目录</w:t>
          </w:r>
        </w:p>
        <w:p w14:paraId="759B9932">
          <w:pPr>
            <w:pStyle w:val="11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/>
              <w:bCs/>
              <w:sz w:val="28"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/>
              <w:bCs/>
              <w:sz w:val="28"/>
              <w:szCs w:val="22"/>
            </w:rPr>
            <w:instrText xml:space="preserve">TOC \o "1-3" \h \u </w:instrText>
          </w:r>
          <w:r>
            <w:rPr>
              <w:rFonts w:hint="eastAsia" w:asciiTheme="minorEastAsia" w:hAnsiTheme="minorEastAsia" w:eastAsiaTheme="minorEastAsia" w:cstheme="minorEastAsia"/>
              <w:b/>
              <w:bCs/>
              <w:sz w:val="28"/>
              <w:szCs w:val="22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_Toc8445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</w:rPr>
            <w:t>前 言</w:t>
          </w:r>
          <w:r>
            <w:tab/>
          </w:r>
          <w:r>
            <w:fldChar w:fldCharType="begin"/>
          </w:r>
          <w:r>
            <w:instrText xml:space="preserve"> PAGEREF _Toc8445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56EE64C9">
          <w:pPr>
            <w:pStyle w:val="11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_Toc20996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</w:rPr>
            <w:t>引 言</w:t>
          </w:r>
          <w:r>
            <w:tab/>
          </w:r>
          <w:r>
            <w:fldChar w:fldCharType="begin"/>
          </w:r>
          <w:r>
            <w:instrText xml:space="preserve"> PAGEREF _Toc20996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2AA36132">
          <w:pPr>
            <w:pStyle w:val="11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_Toc12394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szCs w:val="36"/>
              <w:lang w:eastAsia="zh-CN"/>
            </w:rPr>
            <w:t>头痛</w:t>
          </w:r>
          <w:r>
            <w:rPr>
              <w:rFonts w:hint="eastAsia" w:asciiTheme="majorEastAsia" w:hAnsiTheme="majorEastAsia" w:eastAsiaTheme="majorEastAsia" w:cstheme="majorEastAsia"/>
              <w:szCs w:val="36"/>
            </w:rPr>
            <w:t>（</w:t>
          </w:r>
          <w:r>
            <w:rPr>
              <w:rFonts w:hint="eastAsia" w:asciiTheme="majorEastAsia" w:hAnsiTheme="majorEastAsia" w:eastAsiaTheme="majorEastAsia" w:cstheme="majorEastAsia"/>
              <w:szCs w:val="36"/>
              <w:lang w:eastAsia="zh-CN"/>
            </w:rPr>
            <w:t>偏头痛</w:t>
          </w:r>
          <w:r>
            <w:rPr>
              <w:rFonts w:hint="eastAsia" w:asciiTheme="majorEastAsia" w:hAnsiTheme="majorEastAsia" w:eastAsiaTheme="majorEastAsia" w:cstheme="majorEastAsia"/>
              <w:szCs w:val="36"/>
            </w:rPr>
            <w:t>）</w:t>
          </w:r>
          <w:r>
            <w:rPr>
              <w:rFonts w:hint="eastAsia" w:asciiTheme="majorEastAsia" w:hAnsiTheme="majorEastAsia" w:eastAsiaTheme="majorEastAsia" w:cstheme="majorEastAsia"/>
              <w:szCs w:val="36"/>
              <w:lang w:eastAsia="zh-CN"/>
            </w:rPr>
            <w:t>朝</w:t>
          </w:r>
          <w:r>
            <w:rPr>
              <w:rFonts w:hint="eastAsia" w:asciiTheme="majorEastAsia" w:hAnsiTheme="majorEastAsia" w:eastAsiaTheme="majorEastAsia" w:cstheme="majorEastAsia"/>
              <w:szCs w:val="36"/>
            </w:rPr>
            <w:t>医诊疗方案</w:t>
          </w:r>
          <w:r>
            <w:tab/>
          </w:r>
          <w:r>
            <w:fldChar w:fldCharType="begin"/>
          </w:r>
          <w:r>
            <w:instrText xml:space="preserve"> PAGEREF _Toc12394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1549C3E3">
          <w:pPr>
            <w:pStyle w:val="11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_Toc4467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</w:rPr>
            <w:t xml:space="preserve">1 </w:t>
          </w:r>
          <w:r>
            <w:t xml:space="preserve"> 诊断</w:t>
          </w:r>
          <w:r>
            <w:tab/>
          </w:r>
          <w:r>
            <w:fldChar w:fldCharType="begin"/>
          </w:r>
          <w:r>
            <w:instrText xml:space="preserve"> PAGEREF _Toc4467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628406F2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_Toc18328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="宋体" w:hAnsi="宋体" w:eastAsia="宋体" w:cs="宋体"/>
            </w:rPr>
            <w:t>1.1 疾病诊断</w:t>
          </w:r>
          <w:r>
            <w:tab/>
          </w:r>
          <w:r>
            <w:fldChar w:fldCharType="begin"/>
          </w:r>
          <w:r>
            <w:instrText xml:space="preserve"> PAGEREF _Toc18328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75CC5DB4">
          <w:pPr>
            <w:pStyle w:val="8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_Toc28569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szCs w:val="21"/>
            </w:rPr>
            <w:t xml:space="preserve">1.1.1 </w:t>
          </w:r>
          <w:r>
            <w:rPr>
              <w:rFonts w:hint="eastAsia"/>
              <w:szCs w:val="21"/>
              <w:lang w:eastAsia="zh-CN"/>
            </w:rPr>
            <w:t>朝</w:t>
          </w:r>
          <w:r>
            <w:rPr>
              <w:szCs w:val="21"/>
            </w:rPr>
            <w:t>医诊断标准</w:t>
          </w:r>
          <w:r>
            <w:tab/>
          </w:r>
          <w:r>
            <w:fldChar w:fldCharType="begin"/>
          </w:r>
          <w:r>
            <w:instrText xml:space="preserve"> PAGEREF _Toc28569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665BA7CE">
          <w:pPr>
            <w:pStyle w:val="8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_Toc21941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szCs w:val="21"/>
            </w:rPr>
            <w:t>1.1.2 西医诊断标准</w:t>
          </w:r>
          <w:r>
            <w:tab/>
          </w:r>
          <w:r>
            <w:fldChar w:fldCharType="begin"/>
          </w:r>
          <w:r>
            <w:instrText xml:space="preserve"> PAGEREF _Toc21941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52CC6E5F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_Toc4279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</w:rPr>
            <w:t>1.2</w:t>
          </w:r>
          <w:r>
            <w:rPr>
              <w:rFonts w:hint="eastAsia" w:asciiTheme="minorEastAsia" w:hAnsiTheme="minorEastAsia" w:eastAsiaTheme="minorEastAsia" w:cstheme="minorEastAsia"/>
              <w:lang w:eastAsia="zh-CN"/>
            </w:rPr>
            <w:t>证候诊断</w:t>
          </w:r>
          <w:r>
            <w:tab/>
          </w:r>
          <w:r>
            <w:fldChar w:fldCharType="begin"/>
          </w:r>
          <w:r>
            <w:instrText xml:space="preserve"> PAGEREF _Toc4279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2F8D27CC">
          <w:pPr>
            <w:pStyle w:val="8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_Toc16546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szCs w:val="21"/>
            </w:rPr>
            <w:t xml:space="preserve">1.2.1 </w:t>
          </w:r>
          <w:r>
            <w:rPr>
              <w:rFonts w:hint="eastAsia" w:cs="Times New Roman"/>
              <w:szCs w:val="21"/>
              <w:highlight w:val="none"/>
              <w:lang w:val="zh-CN"/>
            </w:rPr>
            <w:t>外感头痛</w:t>
          </w:r>
          <w:r>
            <w:tab/>
          </w:r>
          <w:r>
            <w:fldChar w:fldCharType="begin"/>
          </w:r>
          <w:r>
            <w:instrText xml:space="preserve"> PAGEREF _Toc16546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459E9B44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_Toc21314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</w:rPr>
            <w:t>1.</w:t>
          </w:r>
          <w:r>
            <w:rPr>
              <w:rFonts w:hint="eastAsia" w:asciiTheme="minorEastAsia" w:hAnsiTheme="minorEastAsia" w:eastAsiaTheme="minorEastAsia" w:cstheme="minorEastAsia"/>
              <w:lang w:val="en-US" w:eastAsia="zh-CN"/>
            </w:rPr>
            <w:t>3</w:t>
          </w:r>
          <w:r>
            <w:rPr>
              <w:rFonts w:hint="eastAsia" w:asciiTheme="minorEastAsia" w:hAnsiTheme="minorEastAsia" w:eastAsiaTheme="minorEastAsia" w:cstheme="minorEastAsia"/>
              <w:lang w:eastAsia="zh-CN"/>
            </w:rPr>
            <w:t>辨象诊断</w:t>
          </w:r>
          <w:r>
            <w:tab/>
          </w:r>
          <w:r>
            <w:fldChar w:fldCharType="begin"/>
          </w:r>
          <w:r>
            <w:instrText xml:space="preserve"> PAGEREF _Toc21314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30F4B03A">
          <w:pPr>
            <w:pStyle w:val="11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_Toc9389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</w:rPr>
            <w:t>2</w:t>
          </w:r>
          <w:r>
            <w:t xml:space="preserve"> 治疗方法</w:t>
          </w:r>
          <w:r>
            <w:tab/>
          </w:r>
          <w:r>
            <w:fldChar w:fldCharType="begin"/>
          </w:r>
          <w:r>
            <w:instrText xml:space="preserve"> PAGEREF _Toc9389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74EACF35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_Toc823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</w:rPr>
            <w:t>2.1 内治法</w:t>
          </w:r>
          <w:r>
            <w:tab/>
          </w:r>
          <w:r>
            <w:fldChar w:fldCharType="begin"/>
          </w:r>
          <w:r>
            <w:instrText xml:space="preserve"> PAGEREF _Toc823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78447EC6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_Toc25381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21"/>
            </w:rPr>
            <w:t>2.1.1</w:t>
          </w:r>
          <w:r>
            <w:rPr>
              <w:rFonts w:hint="eastAsia" w:ascii="宋体" w:hAnsi="宋体" w:eastAsia="宋体" w:cs="宋体"/>
              <w:bCs/>
            </w:rPr>
            <w:t>辨证口服</w:t>
          </w:r>
          <w:r>
            <w:rPr>
              <w:rFonts w:hint="eastAsia" w:ascii="宋体" w:hAnsi="宋体" w:eastAsia="宋体" w:cs="宋体"/>
              <w:bCs/>
              <w:lang w:eastAsia="zh-CN"/>
            </w:rPr>
            <w:t>朝</w:t>
          </w:r>
          <w:r>
            <w:rPr>
              <w:rFonts w:hint="eastAsia" w:ascii="宋体" w:hAnsi="宋体" w:eastAsia="宋体" w:cs="宋体"/>
              <w:bCs/>
            </w:rPr>
            <w:t>药汤剂</w:t>
          </w:r>
          <w:r>
            <w:tab/>
          </w:r>
          <w:r>
            <w:fldChar w:fldCharType="begin"/>
          </w:r>
          <w:r>
            <w:instrText xml:space="preserve"> PAGEREF _Toc25381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5886FDBC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_Toc13546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szCs w:val="21"/>
              <w:lang w:val="en-US" w:eastAsia="zh-CN"/>
            </w:rPr>
            <w:t>2.1.2朝医</w:t>
          </w:r>
          <w:r>
            <w:rPr>
              <w:rFonts w:hint="eastAsia" w:ascii="宋体" w:hAnsi="宋体" w:eastAsia="宋体" w:cs="宋体"/>
              <w:bCs w:val="0"/>
              <w:szCs w:val="21"/>
            </w:rPr>
            <w:t>成药</w:t>
          </w:r>
          <w:r>
            <w:tab/>
          </w:r>
          <w:r>
            <w:fldChar w:fldCharType="begin"/>
          </w:r>
          <w:r>
            <w:instrText xml:space="preserve"> PAGEREF _Toc13546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4D8A67D1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_Toc32351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</w:rPr>
            <w:t>2.2外治疗法</w:t>
          </w:r>
          <w:r>
            <w:tab/>
          </w:r>
          <w:r>
            <w:fldChar w:fldCharType="begin"/>
          </w:r>
          <w:r>
            <w:instrText xml:space="preserve"> PAGEREF _Toc32351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17B94D3F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_Toc27488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  <w:szCs w:val="21"/>
            </w:rPr>
            <w:t>2.</w:t>
          </w:r>
          <w:r>
            <w:rPr>
              <w:rFonts w:hint="eastAsia"/>
              <w:szCs w:val="21"/>
              <w:lang w:val="en-US" w:eastAsia="zh-CN"/>
            </w:rPr>
            <w:t>2</w:t>
          </w:r>
          <w:r>
            <w:rPr>
              <w:rFonts w:hint="eastAsia"/>
              <w:szCs w:val="21"/>
            </w:rPr>
            <w:t>.1</w:t>
          </w:r>
          <w:r>
            <w:rPr>
              <w:rFonts w:hint="eastAsia"/>
              <w:szCs w:val="21"/>
              <w:lang w:eastAsia="zh-CN"/>
            </w:rPr>
            <w:t>太极针刺</w:t>
          </w:r>
          <w:r>
            <w:rPr>
              <w:rFonts w:hint="eastAsia"/>
              <w:szCs w:val="21"/>
            </w:rPr>
            <w:t>法（</w:t>
          </w:r>
          <w:r>
            <w:rPr>
              <w:rFonts w:ascii="Times New Roman" w:hAnsi="Times New Roman" w:cs="Times New Roman"/>
              <w:szCs w:val="21"/>
              <w:highlight w:val="none"/>
            </w:rPr>
            <w:t>DB22/T 2748-2017</w:t>
          </w:r>
          <w:r>
            <w:rPr>
              <w:rFonts w:hint="eastAsia"/>
              <w:szCs w:val="21"/>
            </w:rPr>
            <w:t>）</w:t>
          </w:r>
          <w:r>
            <w:tab/>
          </w:r>
          <w:r>
            <w:fldChar w:fldCharType="begin"/>
          </w:r>
          <w:r>
            <w:instrText xml:space="preserve"> PAGEREF _Toc27488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3243588B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_Toc30511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  <w:szCs w:val="21"/>
            </w:rPr>
            <w:t>2.</w:t>
          </w:r>
          <w:r>
            <w:rPr>
              <w:rFonts w:hint="eastAsia"/>
              <w:szCs w:val="21"/>
              <w:lang w:val="en-US" w:eastAsia="zh-CN"/>
            </w:rPr>
            <w:t>2</w:t>
          </w:r>
          <w:r>
            <w:rPr>
              <w:rFonts w:hint="eastAsia"/>
              <w:szCs w:val="21"/>
            </w:rPr>
            <w:t>.</w:t>
          </w:r>
          <w:r>
            <w:rPr>
              <w:rFonts w:hint="eastAsia"/>
              <w:szCs w:val="21"/>
              <w:lang w:val="en-US" w:eastAsia="zh-CN"/>
            </w:rPr>
            <w:t>2</w:t>
          </w:r>
          <w:r>
            <w:rPr>
              <w:rFonts w:hint="eastAsia"/>
              <w:szCs w:val="21"/>
              <w:lang w:eastAsia="zh-CN"/>
            </w:rPr>
            <w:t>药枕疗法（</w:t>
          </w:r>
          <w:r>
            <w:rPr>
              <w:szCs w:val="21"/>
              <w:highlight w:val="none"/>
            </w:rPr>
            <w:t>CYBZ-2016-02</w:t>
          </w:r>
          <w:r>
            <w:rPr>
              <w:rFonts w:hint="eastAsia"/>
              <w:szCs w:val="21"/>
              <w:lang w:eastAsia="zh-CN"/>
            </w:rPr>
            <w:t>）</w:t>
          </w:r>
          <w:r>
            <w:tab/>
          </w:r>
          <w:r>
            <w:fldChar w:fldCharType="begin"/>
          </w:r>
          <w:r>
            <w:instrText xml:space="preserve"> PAGEREF _Toc30511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2CC3F2AB">
          <w:pPr>
            <w:pStyle w:val="11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_Toc11803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/>
            </w:rPr>
            <w:t>3护理调摄</w:t>
          </w:r>
          <w:r>
            <w:tab/>
          </w:r>
          <w:r>
            <w:fldChar w:fldCharType="begin"/>
          </w:r>
          <w:r>
            <w:instrText xml:space="preserve"> PAGEREF _Toc11803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58C0E465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_Toc12870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="宋体" w:hAnsi="宋体" w:cs="宋体"/>
              <w:szCs w:val="20"/>
            </w:rPr>
            <w:t>3</w:t>
          </w:r>
          <w:r>
            <w:rPr>
              <w:rFonts w:hint="eastAsia" w:ascii="宋体" w:hAnsi="宋体" w:eastAsia="黑体" w:cs="宋体"/>
              <w:szCs w:val="20"/>
              <w:lang w:val="en-US" w:eastAsia="zh-CN"/>
            </w:rPr>
            <w:t>.</w:t>
          </w:r>
          <w:r>
            <w:rPr>
              <w:rFonts w:hint="eastAsia" w:ascii="宋体" w:hAnsi="宋体" w:eastAsia="宋体" w:cs="宋体"/>
              <w:szCs w:val="20"/>
            </w:rPr>
            <w:t>1生活起居：</w:t>
          </w:r>
          <w:r>
            <w:tab/>
          </w:r>
          <w:r>
            <w:fldChar w:fldCharType="begin"/>
          </w:r>
          <w:r>
            <w:instrText xml:space="preserve"> PAGEREF _Toc12870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781D39FD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_Toc7426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="宋体" w:hAnsi="宋体" w:cs="宋体"/>
              <w:szCs w:val="20"/>
            </w:rPr>
            <w:t>3.</w:t>
          </w:r>
          <w:r>
            <w:rPr>
              <w:rFonts w:hint="eastAsia" w:ascii="宋体" w:hAnsi="宋体" w:eastAsia="宋体" w:cs="宋体"/>
              <w:szCs w:val="20"/>
            </w:rPr>
            <w:t>2饮食调理：</w:t>
          </w:r>
          <w:r>
            <w:tab/>
          </w:r>
          <w:r>
            <w:fldChar w:fldCharType="begin"/>
          </w:r>
          <w:r>
            <w:instrText xml:space="preserve"> PAGEREF _Toc7426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4008D402">
          <w:pPr>
            <w:pStyle w:val="12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instrText xml:space="preserve"> HYPERLINK \l _Toc30466 </w:instrText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separate"/>
          </w:r>
          <w:r>
            <w:rPr>
              <w:rFonts w:hint="eastAsia" w:ascii="宋体" w:hAnsi="宋体" w:eastAsia="宋体" w:cs="宋体"/>
              <w:szCs w:val="20"/>
            </w:rPr>
            <w:t>3.</w:t>
          </w:r>
          <w:r>
            <w:rPr>
              <w:rFonts w:hint="eastAsia" w:ascii="宋体" w:hAnsi="宋体" w:cs="宋体"/>
              <w:szCs w:val="20"/>
            </w:rPr>
            <w:t>3</w:t>
          </w:r>
          <w:r>
            <w:rPr>
              <w:rFonts w:hint="eastAsia" w:ascii="宋体" w:hAnsi="宋体" w:eastAsia="宋体" w:cs="宋体"/>
              <w:szCs w:val="20"/>
            </w:rPr>
            <w:t>心理调摄：</w:t>
          </w:r>
          <w:r>
            <w:tab/>
          </w:r>
          <w:r>
            <w:fldChar w:fldCharType="begin"/>
          </w:r>
          <w:r>
            <w:instrText xml:space="preserve"> PAGEREF _Toc30466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  <w:p w14:paraId="359E1886">
          <w:pPr>
            <w:ind w:firstLine="2730" w:firstLineChars="1300"/>
            <w:jc w:val="left"/>
            <w:rPr>
              <w:rFonts w:hint="eastAsia" w:asciiTheme="minorEastAsia" w:hAnsiTheme="minorEastAsia" w:eastAsiaTheme="minorEastAsia" w:cstheme="minorEastAsia"/>
              <w:bCs/>
              <w:szCs w:val="22"/>
            </w:rPr>
          </w:pPr>
          <w:r>
            <w:rPr>
              <w:rFonts w:hint="eastAsia" w:asciiTheme="minorEastAsia" w:hAnsiTheme="minorEastAsia" w:eastAsiaTheme="minorEastAsia" w:cstheme="minorEastAsia"/>
              <w:bCs/>
              <w:szCs w:val="22"/>
            </w:rPr>
            <w:fldChar w:fldCharType="end"/>
          </w:r>
        </w:p>
      </w:sdtContent>
    </w:sdt>
    <w:p w14:paraId="675B26D6">
      <w:pPr>
        <w:ind w:firstLine="2730" w:firstLineChars="1300"/>
        <w:jc w:val="left"/>
        <w:rPr>
          <w:rFonts w:hint="eastAsia" w:asciiTheme="minorEastAsia" w:hAnsiTheme="minorEastAsia" w:eastAsiaTheme="minorEastAsia" w:cstheme="minorEastAsia"/>
          <w:bCs/>
          <w:szCs w:val="22"/>
        </w:rPr>
      </w:pPr>
    </w:p>
    <w:p w14:paraId="0E391F18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41A62A82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047E97B8"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44413107">
      <w:pPr>
        <w:ind w:firstLine="3654" w:firstLineChars="13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2"/>
        </w:rPr>
      </w:pPr>
    </w:p>
    <w:p w14:paraId="4E55589E">
      <w:pPr>
        <w:pStyle w:val="4"/>
        <w:suppressAutoHyphens w:val="0"/>
        <w:spacing w:before="0" w:after="0" w:line="240" w:lineRule="auto"/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</w:pPr>
      <w:bookmarkStart w:id="1" w:name="_Toc25628"/>
      <w:bookmarkStart w:id="2" w:name="_Toc12394"/>
    </w:p>
    <w:p w14:paraId="4B1D930B">
      <w:pPr>
        <w:pStyle w:val="4"/>
        <w:suppressAutoHyphens w:val="0"/>
        <w:spacing w:before="0" w:after="0" w:line="240" w:lineRule="auto"/>
        <w:jc w:val="both"/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</w:pPr>
      <w:bookmarkStart w:id="48" w:name="_GoBack"/>
      <w:bookmarkEnd w:id="48"/>
    </w:p>
    <w:p w14:paraId="71C34B92">
      <w:pPr>
        <w:pStyle w:val="4"/>
        <w:suppressAutoHyphens w:val="0"/>
        <w:spacing w:before="0" w:after="0" w:line="240" w:lineRule="auto"/>
        <w:jc w:val="center"/>
        <w:rPr>
          <w:rFonts w:hint="eastAsia" w:asciiTheme="majorEastAsia" w:hAnsiTheme="majorEastAsia" w:eastAsiaTheme="majorEastAsia" w:cstheme="majorEastAsia"/>
          <w:b w:val="0"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  <w:t>头痛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（</w:t>
      </w:r>
      <w:r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  <w:t>偏头痛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）</w:t>
      </w:r>
      <w:r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  <w:t>朝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医诊疗方案</w:t>
      </w:r>
      <w:bookmarkEnd w:id="0"/>
      <w:bookmarkEnd w:id="1"/>
      <w:bookmarkEnd w:id="2"/>
    </w:p>
    <w:p w14:paraId="60DCB0B7">
      <w:pPr>
        <w:pStyle w:val="4"/>
      </w:pPr>
      <w:bookmarkStart w:id="3" w:name="_Toc4467"/>
      <w:bookmarkStart w:id="4" w:name="_Toc219841211"/>
      <w:r>
        <w:rPr>
          <w:rFonts w:hint="eastAsia"/>
        </w:rPr>
        <w:t xml:space="preserve">1 </w:t>
      </w:r>
      <w:r>
        <w:t xml:space="preserve"> 诊断</w:t>
      </w:r>
      <w:bookmarkEnd w:id="3"/>
      <w:bookmarkEnd w:id="4"/>
    </w:p>
    <w:p w14:paraId="4B807A9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</w:rPr>
        <w:t>在朝医学独特的理论体系中，头痛归属于“头痛”范畴，头痛是临床常见的神经系统疾病，以头部疼痛为核心特征，常伴随恶心、呕吐、畏光、畏声等症状，其发病与生活节奏加快、精神压力增加、情志失调及体质因素密切相关，发病率高且易反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发作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081FB3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参照《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朝医常见病证诊断规范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》（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DB22/T 2944.1-2018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）。</w:t>
      </w:r>
    </w:p>
    <w:p w14:paraId="1AEFEB23">
      <w:pPr>
        <w:pStyle w:val="5"/>
        <w:rPr>
          <w:rFonts w:ascii="Times New Roman" w:hAnsi="Times New Roman" w:cs="Times New Roman"/>
          <w:szCs w:val="21"/>
        </w:rPr>
      </w:pPr>
      <w:bookmarkStart w:id="5" w:name="_Toc18328"/>
      <w:bookmarkStart w:id="6" w:name="_Toc219841212"/>
      <w:r>
        <w:rPr>
          <w:rFonts w:hint="eastAsia" w:ascii="宋体" w:hAnsi="宋体" w:eastAsia="宋体" w:cs="宋体"/>
          <w:sz w:val="24"/>
        </w:rPr>
        <w:t>1.1 疾病诊断</w:t>
      </w:r>
      <w:bookmarkEnd w:id="5"/>
      <w:bookmarkEnd w:id="6"/>
    </w:p>
    <w:p w14:paraId="09083586">
      <w:pPr>
        <w:pStyle w:val="6"/>
        <w:rPr>
          <w:rFonts w:cs="Times New Roman"/>
          <w:szCs w:val="21"/>
        </w:rPr>
      </w:pPr>
      <w:bookmarkStart w:id="7" w:name="_Toc219841213"/>
      <w:bookmarkStart w:id="8" w:name="_Toc28569"/>
      <w:r>
        <w:rPr>
          <w:sz w:val="21"/>
          <w:szCs w:val="21"/>
        </w:rPr>
        <w:t xml:space="preserve">1.1.1 </w:t>
      </w:r>
      <w:r>
        <w:rPr>
          <w:rFonts w:hint="eastAsia"/>
          <w:sz w:val="21"/>
          <w:szCs w:val="21"/>
          <w:lang w:eastAsia="zh-CN"/>
        </w:rPr>
        <w:t>朝</w:t>
      </w:r>
      <w:r>
        <w:rPr>
          <w:sz w:val="21"/>
          <w:szCs w:val="21"/>
        </w:rPr>
        <w:t>医诊断标准</w:t>
      </w:r>
      <w:bookmarkEnd w:id="7"/>
      <w:bookmarkEnd w:id="8"/>
    </w:p>
    <w:p w14:paraId="7E12306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bookmarkStart w:id="9" w:name="_Toc219841214"/>
      <w:r>
        <w:rPr>
          <w:rFonts w:hint="eastAsia"/>
          <w:sz w:val="24"/>
          <w:szCs w:val="24"/>
        </w:rPr>
        <w:t>参照《</w:t>
      </w:r>
      <w:r>
        <w:rPr>
          <w:rFonts w:hint="eastAsia"/>
          <w:sz w:val="24"/>
          <w:szCs w:val="24"/>
          <w:lang w:eastAsia="zh-CN"/>
        </w:rPr>
        <w:t>朝医常见病证诊断规范</w:t>
      </w:r>
      <w:r>
        <w:rPr>
          <w:rFonts w:hint="eastAsia"/>
          <w:sz w:val="24"/>
          <w:szCs w:val="24"/>
        </w:rPr>
        <w:t>》（DB22/T 2944.1-2018 ）。</w:t>
      </w:r>
    </w:p>
    <w:p w14:paraId="17555FC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本病是自觉头部疼痛的一种病证。部位多在头部一侧额颞、前额、</w:t>
      </w:r>
      <w:r>
        <w:rPr>
          <w:rFonts w:hint="eastAsia"/>
          <w:sz w:val="24"/>
          <w:szCs w:val="24"/>
          <w:lang w:val="en-US" w:eastAsia="zh-CN"/>
        </w:rPr>
        <w:t>巅</w:t>
      </w:r>
      <w:r>
        <w:rPr>
          <w:rFonts w:hint="eastAsia"/>
          <w:sz w:val="24"/>
          <w:szCs w:val="24"/>
        </w:rPr>
        <w:t>顶。或左或右辗转发作，或呈全头痛。头痛的性质多为跳痛、刺痛、胀痛、昏痛、隐痛，或头痛如裂等。头痛每次发作可持续数分钟、数小时、数天，也有持续数周者，甚则长期头痛不已。头痛可突然发作，或缓慢起病，逐渐加重或反复发作。</w:t>
      </w:r>
    </w:p>
    <w:p w14:paraId="6B9E3A47">
      <w:pPr>
        <w:pStyle w:val="6"/>
        <w:rPr>
          <w:sz w:val="21"/>
          <w:szCs w:val="21"/>
        </w:rPr>
      </w:pPr>
      <w:bookmarkStart w:id="10" w:name="_Toc21941"/>
      <w:r>
        <w:rPr>
          <w:sz w:val="21"/>
          <w:szCs w:val="21"/>
        </w:rPr>
        <w:t>1.1.2 西医诊断标准</w:t>
      </w:r>
      <w:bookmarkEnd w:id="9"/>
      <w:bookmarkEnd w:id="10"/>
    </w:p>
    <w:p w14:paraId="25C45CD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参照</w:t>
      </w:r>
      <w:r>
        <w:rPr>
          <w:rFonts w:hint="eastAsia"/>
          <w:sz w:val="24"/>
          <w:szCs w:val="24"/>
          <w:lang w:val="en-US" w:eastAsia="zh-CN"/>
        </w:rPr>
        <w:t>2016年国际头痛协会制定的</w:t>
      </w:r>
      <w:r>
        <w:rPr>
          <w:rFonts w:hint="eastAsia"/>
          <w:sz w:val="24"/>
          <w:szCs w:val="24"/>
        </w:rPr>
        <w:t>《国际头痛疾病分类》</w:t>
      </w:r>
      <w:r>
        <w:rPr>
          <w:rFonts w:hint="eastAsia"/>
          <w:sz w:val="24"/>
          <w:szCs w:val="24"/>
          <w:lang w:eastAsia="zh-CN"/>
        </w:rPr>
        <w:t>。</w:t>
      </w:r>
    </w:p>
    <w:p w14:paraId="1FD628F0">
      <w:pPr>
        <w:spacing w:line="360" w:lineRule="auto"/>
        <w:rPr>
          <w:rFonts w:ascii="Times New Roman" w:hAnsi="Times New Roman"/>
          <w:sz w:val="24"/>
          <w:szCs w:val="24"/>
        </w:rPr>
      </w:pPr>
      <w:bookmarkStart w:id="11" w:name="_Toc219841215"/>
      <w:r>
        <w:rPr>
          <w:rFonts w:hint="eastAsia"/>
          <w:sz w:val="24"/>
          <w:szCs w:val="24"/>
          <w:lang w:val="en-US" w:eastAsia="zh-CN"/>
        </w:rPr>
        <w:t>1.1.2.1</w:t>
      </w:r>
      <w:r>
        <w:rPr>
          <w:rFonts w:hint="eastAsia" w:ascii="Times New Roman" w:hAnsi="Times New Roman"/>
          <w:sz w:val="24"/>
          <w:szCs w:val="24"/>
        </w:rPr>
        <w:t>症状</w:t>
      </w:r>
    </w:p>
    <w:p w14:paraId="402D6DE2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1.1.2.1.1</w:t>
      </w:r>
      <w:r>
        <w:rPr>
          <w:rFonts w:hint="eastAsia" w:ascii="Times New Roman" w:hAnsi="Times New Roman"/>
          <w:sz w:val="24"/>
          <w:szCs w:val="24"/>
        </w:rPr>
        <w:t>无先兆偏头痛：反复呕吐，持续</w:t>
      </w:r>
      <w:r>
        <w:rPr>
          <w:rFonts w:ascii="Times New Roman" w:hAnsi="Times New Roman"/>
          <w:sz w:val="24"/>
          <w:szCs w:val="24"/>
        </w:rPr>
        <w:t>4~72</w:t>
      </w:r>
      <w:r>
        <w:rPr>
          <w:rFonts w:hint="eastAsia" w:ascii="Times New Roman" w:hAnsi="Times New Roman"/>
          <w:sz w:val="24"/>
          <w:szCs w:val="24"/>
        </w:rPr>
        <w:t>小时，典型头痛表现为单侧、搏动性、中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hint="eastAsia" w:ascii="Times New Roman" w:hAnsi="Times New Roman"/>
          <w:sz w:val="24"/>
          <w:szCs w:val="24"/>
        </w:rPr>
        <w:t>重度、日常体力活动可加剧头痛，伴呕吐和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hint="eastAsia" w:ascii="Times New Roman" w:hAnsi="Times New Roman"/>
          <w:sz w:val="24"/>
          <w:szCs w:val="24"/>
        </w:rPr>
        <w:t>或畏光畏声。</w:t>
      </w:r>
    </w:p>
    <w:p w14:paraId="49B1380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1.1.2.1.2</w:t>
      </w:r>
      <w:r>
        <w:rPr>
          <w:rFonts w:hint="eastAsia" w:ascii="Times New Roman" w:hAnsi="Times New Roman"/>
          <w:sz w:val="24"/>
          <w:szCs w:val="24"/>
        </w:rPr>
        <w:t>有先兆偏头痛：反复发作，持续数分钟，逐渐出现的单侧可完全恢复的视觉、感觉或其他中枢神经系统症状、通常随之出现头痛和偏头痛相关症状。</w:t>
      </w:r>
    </w:p>
    <w:p w14:paraId="343EB62F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1.1.2.2</w:t>
      </w:r>
      <w:r>
        <w:rPr>
          <w:rFonts w:hint="eastAsia" w:ascii="Times New Roman" w:hAnsi="Times New Roman"/>
          <w:sz w:val="24"/>
          <w:szCs w:val="24"/>
        </w:rPr>
        <w:t>辅助检查：血常规、测血压、必要时做腰穿、骨穿、脑电图。有条件时做经颅多普勒、</w:t>
      </w:r>
      <w:r>
        <w:rPr>
          <w:rFonts w:ascii="Times New Roman" w:hAnsi="Times New Roman"/>
          <w:sz w:val="24"/>
          <w:szCs w:val="24"/>
        </w:rPr>
        <w:t>CT</w:t>
      </w:r>
      <w:r>
        <w:rPr>
          <w:rFonts w:hint="eastAsia" w:ascii="Times New Roman" w:hAnsi="Times New Roman"/>
          <w:sz w:val="24"/>
          <w:szCs w:val="24"/>
        </w:rPr>
        <w:t>、磁共振等检查，以明确头痛的病因，排除器质性疾病。</w:t>
      </w:r>
    </w:p>
    <w:p w14:paraId="46B1B556">
      <w:pPr>
        <w:spacing w:line="360" w:lineRule="auto"/>
        <w:ind w:firstLine="210" w:firstLineChars="100"/>
        <w:rPr>
          <w:rFonts w:hint="eastAsia" w:ascii="宋体" w:hAnsi="宋体" w:eastAsia="宋体" w:cs="宋体"/>
          <w:highlight w:val="none"/>
        </w:rPr>
      </w:pPr>
    </w:p>
    <w:p w14:paraId="0779D838">
      <w:pPr>
        <w:pStyle w:val="5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bookmarkStart w:id="12" w:name="_Toc4279"/>
      <w:r>
        <w:rPr>
          <w:rFonts w:hint="eastAsia" w:asciiTheme="minorEastAsia" w:hAnsiTheme="minorEastAsia" w:eastAsiaTheme="minorEastAsia" w:cstheme="minorEastAsia"/>
          <w:sz w:val="24"/>
        </w:rPr>
        <w:t>1.2</w:t>
      </w:r>
      <w:bookmarkEnd w:id="11"/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证候诊断</w:t>
      </w:r>
      <w:bookmarkEnd w:id="12"/>
    </w:p>
    <w:p w14:paraId="3192B323">
      <w:pPr>
        <w:pStyle w:val="6"/>
        <w:rPr>
          <w:sz w:val="21"/>
          <w:szCs w:val="21"/>
        </w:rPr>
      </w:pPr>
      <w:bookmarkStart w:id="13" w:name="_Toc219841216"/>
      <w:bookmarkStart w:id="14" w:name="_Toc16546"/>
      <w:r>
        <w:rPr>
          <w:sz w:val="21"/>
          <w:szCs w:val="21"/>
        </w:rPr>
        <w:t xml:space="preserve">1.2.1 </w:t>
      </w:r>
      <w:bookmarkEnd w:id="13"/>
      <w:r>
        <w:rPr>
          <w:rFonts w:hint="eastAsia" w:cs="Times New Roman"/>
          <w:sz w:val="21"/>
          <w:szCs w:val="21"/>
          <w:highlight w:val="none"/>
          <w:lang w:val="zh-CN"/>
        </w:rPr>
        <w:t>外感头痛</w:t>
      </w:r>
      <w:bookmarkEnd w:id="14"/>
    </w:p>
    <w:p w14:paraId="1EAD2816">
      <w:pPr>
        <w:spacing w:line="360" w:lineRule="auto"/>
        <w:rPr>
          <w:rFonts w:ascii="Times New Roman" w:hAnsi="Times New Roman"/>
          <w:sz w:val="24"/>
          <w:szCs w:val="24"/>
        </w:rPr>
      </w:pPr>
      <w:bookmarkStart w:id="15" w:name="_Toc219841217"/>
      <w:r>
        <w:rPr>
          <w:rFonts w:hint="eastAsia"/>
          <w:sz w:val="24"/>
          <w:szCs w:val="24"/>
          <w:lang w:val="en-US" w:eastAsia="zh-CN"/>
        </w:rPr>
        <w:t>1.2.1.1</w:t>
      </w:r>
      <w:r>
        <w:rPr>
          <w:rFonts w:hint="eastAsia" w:ascii="Times New Roman" w:hAnsi="Times New Roman"/>
          <w:sz w:val="24"/>
          <w:szCs w:val="24"/>
        </w:rPr>
        <w:t>风寒头痛</w:t>
      </w:r>
    </w:p>
    <w:p w14:paraId="54B32EE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主症：头痛时作，痛连项背。</w:t>
      </w:r>
    </w:p>
    <w:p w14:paraId="1AFFB8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次症：恶风畏寒，遇风尤剧，口不渴。</w:t>
      </w:r>
    </w:p>
    <w:p w14:paraId="029D912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舌脉：舌淡，苔薄白，脉浮。</w:t>
      </w:r>
    </w:p>
    <w:p w14:paraId="6E44832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1.2.1.2</w:t>
      </w:r>
      <w:r>
        <w:rPr>
          <w:rFonts w:hint="eastAsia" w:ascii="Times New Roman" w:hAnsi="Times New Roman"/>
          <w:sz w:val="24"/>
          <w:szCs w:val="24"/>
        </w:rPr>
        <w:t>风热头痛</w:t>
      </w:r>
    </w:p>
    <w:p w14:paraId="5231D9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主症：头痛而胀，头痛如裂。</w:t>
      </w:r>
    </w:p>
    <w:p w14:paraId="582F7CA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次症：发热恶风，面红目赤，口渴欲饮，便秘溲黄。</w:t>
      </w:r>
    </w:p>
    <w:p w14:paraId="45C5AC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舌脉：舌红，苔黄，脉浮数。</w:t>
      </w:r>
    </w:p>
    <w:p w14:paraId="3CB7295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1.2.2 </w:t>
      </w:r>
      <w:bookmarkEnd w:id="15"/>
      <w:r>
        <w:rPr>
          <w:rFonts w:hint="eastAsia" w:ascii="宋体" w:hAnsi="宋体" w:eastAsia="宋体" w:cs="宋体"/>
          <w:b/>
          <w:bCs/>
        </w:rPr>
        <w:t>内伤头痛</w:t>
      </w:r>
    </w:p>
    <w:p w14:paraId="72892919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1.2.2.1</w:t>
      </w:r>
      <w:r>
        <w:rPr>
          <w:rFonts w:hint="eastAsia" w:ascii="Times New Roman" w:hAnsi="Times New Roman"/>
          <w:sz w:val="24"/>
          <w:szCs w:val="24"/>
        </w:rPr>
        <w:t>肾虚头痛</w:t>
      </w:r>
    </w:p>
    <w:p w14:paraId="29227E1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主症：头痛且空。</w:t>
      </w:r>
    </w:p>
    <w:p w14:paraId="271D0F9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次症：眩晕耳鸣，腰痛腿软，神疲乏力，遗精带下。</w:t>
      </w:r>
    </w:p>
    <w:p w14:paraId="6699364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舌脉：舌淡，苔薄白，脉细无力。</w:t>
      </w:r>
    </w:p>
    <w:p w14:paraId="6FD79813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1.2.2.2</w:t>
      </w:r>
      <w:r>
        <w:rPr>
          <w:rFonts w:hint="eastAsia" w:ascii="Times New Roman" w:hAnsi="Times New Roman"/>
          <w:sz w:val="24"/>
          <w:szCs w:val="24"/>
        </w:rPr>
        <w:t>痰浊头痛</w:t>
      </w:r>
    </w:p>
    <w:p w14:paraId="2A527DB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主症：头痛昏蒙。</w:t>
      </w:r>
    </w:p>
    <w:p w14:paraId="00703DE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次症：胸闷，呕恶痰涎。</w:t>
      </w:r>
    </w:p>
    <w:p w14:paraId="31B96A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</w:rPr>
        <w:t>舌脉：舌淡，苔白腻，脉弦滑。</w:t>
      </w:r>
    </w:p>
    <w:p w14:paraId="6C25346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1.2.2.3</w:t>
      </w:r>
      <w:r>
        <w:rPr>
          <w:rFonts w:hint="eastAsia" w:ascii="Times New Roman" w:hAnsi="Times New Roman"/>
          <w:sz w:val="24"/>
          <w:szCs w:val="24"/>
        </w:rPr>
        <w:t>瘀血头痛</w:t>
      </w:r>
    </w:p>
    <w:p w14:paraId="27093E6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主症：头痛经久不愈。</w:t>
      </w:r>
    </w:p>
    <w:p w14:paraId="7DC433F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次症：痛处固定，痛如针刺。</w:t>
      </w:r>
    </w:p>
    <w:p w14:paraId="442C8C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舌脉：舌紫暗，苔薄白，脉细或涩。</w:t>
      </w:r>
    </w:p>
    <w:p w14:paraId="73FAF988">
      <w:pPr>
        <w:pStyle w:val="5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bookmarkStart w:id="16" w:name="_Toc21314"/>
      <w:r>
        <w:rPr>
          <w:rFonts w:hint="eastAsia" w:asciiTheme="minorEastAsia" w:hAnsiTheme="minorEastAsia" w:eastAsiaTheme="minorEastAsia" w:cstheme="minorEastAsia"/>
          <w:sz w:val="24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辨象诊断</w:t>
      </w:r>
      <w:bookmarkEnd w:id="16"/>
    </w:p>
    <w:p w14:paraId="555A77F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参照《</w:t>
      </w:r>
      <w:r>
        <w:rPr>
          <w:rFonts w:hint="eastAsia"/>
          <w:sz w:val="24"/>
          <w:szCs w:val="24"/>
          <w:lang w:eastAsia="zh-CN"/>
        </w:rPr>
        <w:t>朝医辨象规范</w:t>
      </w:r>
      <w:r>
        <w:rPr>
          <w:rFonts w:hint="eastAsia"/>
          <w:sz w:val="24"/>
          <w:szCs w:val="24"/>
        </w:rPr>
        <w:t>》（DB22/T 2942-2018 ）</w:t>
      </w:r>
      <w:r>
        <w:rPr>
          <w:rFonts w:hint="eastAsia"/>
          <w:sz w:val="24"/>
          <w:szCs w:val="24"/>
          <w:lang w:eastAsia="zh-CN"/>
        </w:rPr>
        <w:t>、朝医四象体质量表</w:t>
      </w:r>
      <w:r>
        <w:rPr>
          <w:rFonts w:hint="eastAsia"/>
          <w:sz w:val="24"/>
          <w:szCs w:val="24"/>
        </w:rPr>
        <w:t>（DB22/T 3149-2020）。</w:t>
      </w:r>
    </w:p>
    <w:p w14:paraId="06171967">
      <w:pPr>
        <w:pStyle w:val="4"/>
        <w:rPr>
          <w:szCs w:val="21"/>
        </w:rPr>
      </w:pPr>
      <w:bookmarkStart w:id="17" w:name="_Toc9389"/>
      <w:bookmarkStart w:id="18" w:name="_Toc219841219"/>
      <w:r>
        <w:rPr>
          <w:rFonts w:hint="eastAsia"/>
        </w:rPr>
        <w:t>2</w:t>
      </w:r>
      <w:r>
        <w:t xml:space="preserve"> 治疗方法</w:t>
      </w:r>
      <w:bookmarkEnd w:id="17"/>
      <w:bookmarkEnd w:id="18"/>
    </w:p>
    <w:p w14:paraId="339738CB">
      <w:pPr>
        <w:pStyle w:val="5"/>
        <w:rPr>
          <w:rFonts w:ascii="Times New Roman" w:hAnsi="Times New Roman" w:cs="Times New Roman"/>
          <w:szCs w:val="21"/>
        </w:rPr>
      </w:pPr>
      <w:bookmarkStart w:id="19" w:name="_Toc823"/>
      <w:bookmarkStart w:id="20" w:name="_Toc219841220"/>
      <w:r>
        <w:rPr>
          <w:rFonts w:hint="eastAsia" w:asciiTheme="minorEastAsia" w:hAnsiTheme="minorEastAsia" w:eastAsiaTheme="minorEastAsia" w:cstheme="minorEastAsia"/>
          <w:sz w:val="24"/>
        </w:rPr>
        <w:t>2.1 内治法</w:t>
      </w:r>
      <w:bookmarkEnd w:id="19"/>
      <w:bookmarkEnd w:id="20"/>
    </w:p>
    <w:p w14:paraId="21D39F46">
      <w:pPr>
        <w:spacing w:line="360" w:lineRule="auto"/>
        <w:ind w:left="11" w:hanging="11"/>
        <w:outlineLvl w:val="1"/>
        <w:rPr>
          <w:rFonts w:hint="eastAsia" w:ascii="宋体" w:hAnsi="宋体" w:eastAsia="宋体" w:cs="宋体"/>
          <w:b/>
          <w:bCs w:val="0"/>
          <w:color w:val="auto"/>
          <w:sz w:val="24"/>
          <w:lang w:eastAsia="zh-CN"/>
        </w:rPr>
      </w:pPr>
      <w:bookmarkStart w:id="21" w:name="_Toc25381"/>
      <w:r>
        <w:rPr>
          <w:rFonts w:hint="eastAsia" w:ascii="宋体" w:hAnsi="宋体" w:eastAsia="宋体" w:cs="宋体"/>
          <w:b/>
          <w:bCs w:val="0"/>
          <w:color w:val="auto"/>
          <w:szCs w:val="21"/>
        </w:rPr>
        <w:t>2.1.1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辨证口服</w:t>
      </w:r>
      <w:r>
        <w:rPr>
          <w:rFonts w:hint="eastAsia" w:ascii="宋体" w:hAnsi="宋体" w:eastAsia="宋体" w:cs="宋体"/>
          <w:b w:val="0"/>
          <w:bCs/>
          <w:color w:val="auto"/>
          <w:sz w:val="24"/>
          <w:lang w:eastAsia="zh-CN"/>
        </w:rPr>
        <w:t>朝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药汤剂</w:t>
      </w:r>
      <w:bookmarkEnd w:id="21"/>
    </w:p>
    <w:p w14:paraId="16E0E258">
      <w:pPr>
        <w:pStyle w:val="2"/>
      </w:pPr>
    </w:p>
    <w:p w14:paraId="7513643A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2.1.1.1</w:t>
      </w:r>
      <w:r>
        <w:rPr>
          <w:rFonts w:hint="eastAsia"/>
          <w:sz w:val="24"/>
          <w:szCs w:val="24"/>
        </w:rPr>
        <w:t>外感头痛</w:t>
      </w:r>
    </w:p>
    <w:p w14:paraId="265DD190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2.1.1.1.1</w:t>
      </w:r>
      <w:r>
        <w:rPr>
          <w:rFonts w:hint="eastAsia"/>
          <w:sz w:val="24"/>
          <w:szCs w:val="24"/>
        </w:rPr>
        <w:t>风寒头痛</w:t>
      </w:r>
    </w:p>
    <w:p w14:paraId="21073B6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2.1.1.1.1.1</w:t>
      </w:r>
      <w:r>
        <w:rPr>
          <w:rFonts w:hint="eastAsia" w:ascii="Times New Roman" w:hAnsi="Times New Roman"/>
          <w:sz w:val="24"/>
          <w:szCs w:val="24"/>
        </w:rPr>
        <w:t>太阳人</w:t>
      </w:r>
    </w:p>
    <w:p w14:paraId="5936D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治法：泻阳补阴，祛风散寒。</w:t>
      </w:r>
    </w:p>
    <w:p w14:paraId="09E04273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方药：五加皮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20g，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，分3次服。服用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天，根据病情调方或遵医嘱。</w:t>
      </w:r>
    </w:p>
    <w:p w14:paraId="02823E60">
      <w:pPr>
        <w:pStyle w:val="3"/>
        <w:ind w:left="0" w:leftChars="0" w:firstLine="0" w:firstLineChars="0"/>
      </w:pPr>
    </w:p>
    <w:p w14:paraId="4FA77F7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2.1.1.1.1.2</w:t>
      </w:r>
      <w:r>
        <w:rPr>
          <w:rFonts w:hint="eastAsia" w:ascii="Times New Roman" w:hAnsi="Times New Roman"/>
          <w:sz w:val="24"/>
          <w:szCs w:val="24"/>
        </w:rPr>
        <w:t>太阴人</w:t>
      </w:r>
    </w:p>
    <w:p w14:paraId="3AB696A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治法：通利肺气，祛风散寒。</w:t>
      </w:r>
    </w:p>
    <w:p w14:paraId="4B1DA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</w:rPr>
        <w:t>方药：太阴调胃汤（《东医寿世保元》）。服用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4955A234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  <w:lang w:eastAsia="zh-CN"/>
        </w:rPr>
        <w:t>常用药：</w:t>
      </w:r>
      <w:r>
        <w:rPr>
          <w:rFonts w:hint="eastAsia"/>
          <w:sz w:val="24"/>
          <w:szCs w:val="24"/>
        </w:rPr>
        <w:t>薏苡仁、莱菔子、五味子、麦冬、桔梗、麻黄、白芷、藁本。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5BE7E9F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54E44DA1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2.1.1.1.1.3</w:t>
      </w:r>
      <w:r>
        <w:rPr>
          <w:rFonts w:hint="eastAsia" w:ascii="Times New Roman" w:hAnsi="Times New Roman"/>
          <w:sz w:val="24"/>
          <w:szCs w:val="24"/>
        </w:rPr>
        <w:t>少阳人</w:t>
      </w:r>
    </w:p>
    <w:p w14:paraId="6815A80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治法：滋补肾阴，祛风散寒。</w:t>
      </w:r>
    </w:p>
    <w:p w14:paraId="582EC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方药：荆防败毒散（《东医寿世保元》）。服用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5511EFD2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  <w:lang w:eastAsia="zh-CN"/>
        </w:rPr>
        <w:t>常用药：</w:t>
      </w:r>
      <w:r>
        <w:rPr>
          <w:rFonts w:hint="eastAsia"/>
          <w:sz w:val="24"/>
          <w:szCs w:val="24"/>
        </w:rPr>
        <w:t>荆芥、防风、羌活、独活、柴胡、前胡、赤茯苓、地骨皮、生地黄、车前子。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1：1：1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063687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35099335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2.1.1.1.1.4</w:t>
      </w:r>
      <w:r>
        <w:rPr>
          <w:rFonts w:hint="eastAsia" w:ascii="Times New Roman" w:hAnsi="Times New Roman"/>
          <w:sz w:val="24"/>
          <w:szCs w:val="24"/>
        </w:rPr>
        <w:t>少阴人</w:t>
      </w:r>
    </w:p>
    <w:p w14:paraId="1D2A912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治法：温补脾胃，祛风散寒。</w:t>
      </w:r>
    </w:p>
    <w:p w14:paraId="7870E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方药：香苏散（《东医寿世保元》）。服用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2D990E17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  <w:lang w:eastAsia="zh-CN"/>
        </w:rPr>
        <w:t>常用药：</w:t>
      </w:r>
      <w:r>
        <w:rPr>
          <w:rFonts w:hint="eastAsia"/>
          <w:sz w:val="24"/>
          <w:szCs w:val="24"/>
        </w:rPr>
        <w:t>香附子、紫苏叶、陈皮、苍术、甘草、生姜、葱白。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2.5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1.5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2F40C84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7DC3A0A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2.1.1.1.2</w:t>
      </w:r>
      <w:r>
        <w:rPr>
          <w:rFonts w:hint="eastAsia" w:ascii="Times New Roman" w:hAnsi="Times New Roman"/>
          <w:sz w:val="24"/>
          <w:szCs w:val="24"/>
        </w:rPr>
        <w:t>风热头痛</w:t>
      </w:r>
    </w:p>
    <w:p w14:paraId="6AF5FE9E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2.1.1.1.2.1</w:t>
      </w:r>
      <w:r>
        <w:rPr>
          <w:rFonts w:hint="eastAsia" w:ascii="Times New Roman" w:hAnsi="Times New Roman"/>
          <w:sz w:val="24"/>
          <w:szCs w:val="24"/>
        </w:rPr>
        <w:t>太阳人</w:t>
      </w:r>
    </w:p>
    <w:p w14:paraId="32476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治法：泻阳补阴，清热解表。</w:t>
      </w:r>
    </w:p>
    <w:p w14:paraId="52102E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方药：荞麦粉50g，每日1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次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温水冲服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。服用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天，根据病情调方或遵医嘱。</w:t>
      </w:r>
    </w:p>
    <w:p w14:paraId="259EC94D">
      <w:pPr>
        <w:pStyle w:val="3"/>
        <w:rPr>
          <w:rFonts w:hint="eastAsia"/>
        </w:rPr>
      </w:pPr>
    </w:p>
    <w:p w14:paraId="4D331BE3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2.1.1.1.2.2</w:t>
      </w:r>
      <w:r>
        <w:rPr>
          <w:rFonts w:hint="eastAsia" w:ascii="Times New Roman" w:hAnsi="Times New Roman"/>
          <w:sz w:val="24"/>
          <w:szCs w:val="24"/>
        </w:rPr>
        <w:t>太阴人</w:t>
      </w:r>
    </w:p>
    <w:p w14:paraId="3ADE59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治法：通利肺气，清热解表。</w:t>
      </w:r>
    </w:p>
    <w:p w14:paraId="558E8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方药：热多寒少汤（《东医寿世保元》）。服用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4166936D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  <w:lang w:eastAsia="zh-CN"/>
        </w:rPr>
        <w:t>常用药：</w:t>
      </w:r>
      <w:r>
        <w:rPr>
          <w:rFonts w:hint="eastAsia"/>
          <w:sz w:val="24"/>
          <w:szCs w:val="24"/>
        </w:rPr>
        <w:t>葛根、黄芩、藁本、莱菔子、桔梗、升麻、白芷。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1C9B2F0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6EBC0CFB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2.1.1.1.2.3</w:t>
      </w:r>
      <w:r>
        <w:rPr>
          <w:rFonts w:hint="eastAsia" w:ascii="Times New Roman" w:hAnsi="Times New Roman"/>
          <w:sz w:val="24"/>
          <w:szCs w:val="24"/>
        </w:rPr>
        <w:t>少阳人</w:t>
      </w:r>
    </w:p>
    <w:p w14:paraId="7BB1B5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治法：滋补肾阴，清热解表。</w:t>
      </w:r>
    </w:p>
    <w:p w14:paraId="71085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方药：凉膈散火汤（《东医寿世保元》）。服用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13D6EFB5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  <w:lang w:eastAsia="zh-CN"/>
        </w:rPr>
        <w:t>常用药：</w:t>
      </w:r>
      <w:r>
        <w:rPr>
          <w:rFonts w:hint="eastAsia"/>
          <w:sz w:val="24"/>
          <w:szCs w:val="24"/>
        </w:rPr>
        <w:t>生地黄、忍冬藤、连翘、栀子、薄荷、知母、石膏、防风、荆芥。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7ECB8B2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3D2F09F0">
      <w:pPr>
        <w:spacing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hint="eastAsia"/>
          <w:bCs/>
          <w:sz w:val="24"/>
          <w:szCs w:val="24"/>
          <w:lang w:val="en-US" w:eastAsia="zh-CN"/>
        </w:rPr>
        <w:t>2.1.1.1.2.4</w:t>
      </w:r>
      <w:r>
        <w:rPr>
          <w:rFonts w:hint="eastAsia" w:ascii="Times New Roman" w:hAnsi="Times New Roman"/>
          <w:bCs/>
          <w:sz w:val="24"/>
          <w:szCs w:val="24"/>
        </w:rPr>
        <w:t>少阴人</w:t>
      </w:r>
    </w:p>
    <w:p w14:paraId="59D1FBA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治法：温补脾胃，清热解毒。</w:t>
      </w:r>
    </w:p>
    <w:p w14:paraId="2D8BF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方药：补中益气汤（《东医寿世保元》）。服用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6C7A334F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  <w:lang w:eastAsia="zh-CN"/>
        </w:rPr>
        <w:t>常用药：</w:t>
      </w:r>
      <w:r>
        <w:rPr>
          <w:rFonts w:hint="eastAsia"/>
          <w:sz w:val="24"/>
          <w:szCs w:val="24"/>
        </w:rPr>
        <w:t>人参、黄芪、白术、当归、陈皮、炙甘草、苏叶、藿香、生姜、大枣。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1F802D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52ECC122">
      <w:pPr>
        <w:pStyle w:val="3"/>
        <w:rPr>
          <w:rFonts w:hint="eastAsia"/>
        </w:rPr>
      </w:pPr>
    </w:p>
    <w:p w14:paraId="5C63A426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</w:t>
      </w:r>
      <w:r>
        <w:rPr>
          <w:rFonts w:hint="eastAsia" w:ascii="Times New Roman" w:hAnsi="Times New Roman"/>
          <w:sz w:val="24"/>
          <w:szCs w:val="24"/>
        </w:rPr>
        <w:t>内伤头痛</w:t>
      </w:r>
    </w:p>
    <w:p w14:paraId="14A855E5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2.1.1.2.1</w:t>
      </w:r>
      <w:r>
        <w:rPr>
          <w:rFonts w:hint="eastAsia" w:ascii="Times New Roman" w:hAnsi="Times New Roman"/>
          <w:sz w:val="24"/>
          <w:szCs w:val="24"/>
        </w:rPr>
        <w:t>肾虚头痛</w:t>
      </w:r>
    </w:p>
    <w:p w14:paraId="226A898D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2.1.1.2.1.1</w:t>
      </w:r>
      <w:r>
        <w:rPr>
          <w:rFonts w:hint="eastAsia" w:ascii="Times New Roman" w:hAnsi="Times New Roman"/>
          <w:sz w:val="24"/>
          <w:szCs w:val="24"/>
        </w:rPr>
        <w:t>太阳人</w:t>
      </w:r>
    </w:p>
    <w:p w14:paraId="46FD4B7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治法：泻阳补阴，填精益髓。</w:t>
      </w:r>
    </w:p>
    <w:p w14:paraId="2E989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方药：五加皮壮脊汤（《东医寿世保元》）。服用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0E622C07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  <w:lang w:eastAsia="zh-CN"/>
        </w:rPr>
        <w:t>常用药：</w:t>
      </w:r>
      <w:r>
        <w:rPr>
          <w:rFonts w:hint="eastAsia"/>
          <w:sz w:val="24"/>
          <w:szCs w:val="24"/>
        </w:rPr>
        <w:t>五加皮、木瓜、青松节、葡萄根、芦根、樱桃肉、荞麦米半匙。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2CC6772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sz w:val="24"/>
          <w:szCs w:val="24"/>
        </w:rPr>
      </w:pPr>
    </w:p>
    <w:p w14:paraId="434E33A8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cs="宋体"/>
          <w:bCs/>
          <w:sz w:val="24"/>
          <w:szCs w:val="24"/>
          <w:lang w:val="en-US" w:eastAsia="zh-CN"/>
        </w:rPr>
        <w:t>2.1.1.2.1.2</w:t>
      </w:r>
      <w:r>
        <w:rPr>
          <w:rFonts w:hint="eastAsia" w:ascii="Times New Roman" w:hAnsi="Times New Roman"/>
          <w:sz w:val="24"/>
          <w:szCs w:val="24"/>
        </w:rPr>
        <w:t>太阴人</w:t>
      </w:r>
    </w:p>
    <w:p w14:paraId="3E8A2E2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治法：通利肺气，填精益髓。</w:t>
      </w:r>
    </w:p>
    <w:p w14:paraId="651D7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方药：肾气调胃汤（《东医四象新编》）。服用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7444E10D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薏苡仁、莱菔子、海松子、五味子、麦冬、桔梗、石菖蒲、麻黄、白芷、藁本。（药物比例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675307E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3D3F11C6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2.1.1.2.1.3</w:t>
      </w:r>
      <w:r>
        <w:rPr>
          <w:rFonts w:hint="eastAsia" w:ascii="Times New Roman" w:hAnsi="Times New Roman"/>
          <w:sz w:val="24"/>
          <w:szCs w:val="24"/>
        </w:rPr>
        <w:t>少阳人</w:t>
      </w:r>
    </w:p>
    <w:p w14:paraId="567A18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治法：滋补肾阴，填精益髓。</w:t>
      </w:r>
    </w:p>
    <w:p w14:paraId="171E9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方药：荆防地黄汤（《东医寿世保元》）。服用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6C1961B0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熟地黄、山茱萸、茯苓、泽泻、车前子、羌活、独活、荆芥、防风。（药物比例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7203C4D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1314842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2.1.1.2.1.4</w:t>
      </w:r>
      <w:r>
        <w:rPr>
          <w:rFonts w:hint="eastAsia" w:ascii="Times New Roman" w:hAnsi="Times New Roman"/>
          <w:sz w:val="24"/>
          <w:szCs w:val="24"/>
        </w:rPr>
        <w:t>少阴人</w:t>
      </w:r>
    </w:p>
    <w:p w14:paraId="4B393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治法：温补脾胃，填精益髓。</w:t>
      </w:r>
    </w:p>
    <w:p w14:paraId="0E1666A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方药：八物君子汤（《东医寿世保元》）。服用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3CA84C1C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人参、黄芪、白术、白芍、当归、川芎、陈皮、炙甘草、生姜、大枣。（药物比例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4376652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0C15857E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2.1.1.2.2</w:t>
      </w:r>
      <w:r>
        <w:rPr>
          <w:rFonts w:hint="eastAsia" w:ascii="Times New Roman" w:hAnsi="Times New Roman"/>
          <w:sz w:val="24"/>
          <w:szCs w:val="24"/>
        </w:rPr>
        <w:t>痰浊头痛</w:t>
      </w:r>
    </w:p>
    <w:p w14:paraId="3D1726F5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2.1.1.2.2.1</w:t>
      </w:r>
      <w:r>
        <w:rPr>
          <w:rFonts w:hint="eastAsia" w:ascii="Times New Roman" w:hAnsi="Times New Roman"/>
          <w:sz w:val="24"/>
          <w:szCs w:val="24"/>
        </w:rPr>
        <w:t>太阳人</w:t>
      </w:r>
    </w:p>
    <w:p w14:paraId="47CADDA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治法：泻阳补阴，化痰降逆。</w:t>
      </w:r>
    </w:p>
    <w:p w14:paraId="0B1EBAFF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方药：芦根20g，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1E735B1E">
      <w:pPr>
        <w:pStyle w:val="3"/>
        <w:rPr>
          <w:rFonts w:hint="eastAsia"/>
        </w:rPr>
      </w:pPr>
    </w:p>
    <w:p w14:paraId="7C8FC61E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2.1.1.2.2.2</w:t>
      </w:r>
      <w:r>
        <w:rPr>
          <w:rFonts w:hint="eastAsia" w:ascii="Times New Roman" w:hAnsi="Times New Roman"/>
          <w:sz w:val="24"/>
          <w:szCs w:val="24"/>
        </w:rPr>
        <w:t>太阴人</w:t>
      </w:r>
    </w:p>
    <w:p w14:paraId="677F70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治法：通利肺气，化痰降逆。</w:t>
      </w:r>
    </w:p>
    <w:p w14:paraId="4B301A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方药：清肺泻肝汤（《东医四象新编》）。服用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4949B73E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/>
          <w:sz w:val="24"/>
          <w:szCs w:val="24"/>
        </w:rPr>
        <w:t>葛根、黄芩、藁本、莱菔子、桔梗、升麻、白芷、大黄。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0932E61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0E56DAB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2.1.1.2.2.3</w:t>
      </w:r>
      <w:r>
        <w:rPr>
          <w:rFonts w:hint="eastAsia" w:ascii="Times New Roman" w:hAnsi="Times New Roman"/>
          <w:sz w:val="24"/>
          <w:szCs w:val="24"/>
        </w:rPr>
        <w:t>少阳人</w:t>
      </w:r>
    </w:p>
    <w:p w14:paraId="4296426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治法：滋补肾阴，化痰降逆。</w:t>
      </w:r>
    </w:p>
    <w:p w14:paraId="37CC379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方药：导赤降气汤（《东医四象诊疗医典》）。服用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3F88EC31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/>
          <w:sz w:val="24"/>
          <w:szCs w:val="24"/>
        </w:rPr>
        <w:t>生地黄、木通、玄参、瓜蒌仁、前胡、羌活、独活、荆芥、防风、茯苓、泽泻。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492492A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19E215A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2.1.1.2.2.4</w:t>
      </w:r>
      <w:r>
        <w:rPr>
          <w:rFonts w:hint="eastAsia" w:ascii="Times New Roman" w:hAnsi="Times New Roman"/>
          <w:sz w:val="24"/>
          <w:szCs w:val="24"/>
        </w:rPr>
        <w:t>少阴人</w:t>
      </w:r>
    </w:p>
    <w:p w14:paraId="73F71D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治法：温补脾胃，化痰降逆。</w:t>
      </w:r>
    </w:p>
    <w:p w14:paraId="15AE5D1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方药：祛风散（《东医四象新编》）。服用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5A0D2284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/>
          <w:sz w:val="24"/>
          <w:szCs w:val="24"/>
        </w:rPr>
        <w:t>生姜、桂枝、半夏、白芍、白术、陈皮、炙甘草、枳壳、青皮、乌药、南星。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100FE51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78595D3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2.1.1.2.3</w:t>
      </w:r>
      <w:r>
        <w:rPr>
          <w:rFonts w:hint="eastAsia" w:ascii="Times New Roman" w:hAnsi="Times New Roman"/>
          <w:sz w:val="24"/>
          <w:szCs w:val="24"/>
        </w:rPr>
        <w:t>瘀血头痛</w:t>
      </w:r>
    </w:p>
    <w:p w14:paraId="4F0BD02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2.1.1.2.3.1</w:t>
      </w:r>
      <w:r>
        <w:rPr>
          <w:rFonts w:hint="eastAsia" w:ascii="Times New Roman" w:hAnsi="Times New Roman"/>
          <w:sz w:val="24"/>
          <w:szCs w:val="24"/>
        </w:rPr>
        <w:t>太阳人</w:t>
      </w:r>
    </w:p>
    <w:p w14:paraId="05EB4BF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治法：泻阳补阴，活血化瘀。</w:t>
      </w:r>
    </w:p>
    <w:p w14:paraId="3C8C1C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4"/>
          <w:szCs w:val="24"/>
        </w:rPr>
        <w:t>方药：荞麦粉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0g，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每日1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次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温水冲服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sz w:val="24"/>
          <w:szCs w:val="24"/>
        </w:rPr>
        <w:t>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7A5B515A">
      <w:pPr>
        <w:pStyle w:val="3"/>
        <w:ind w:left="0" w:leftChars="0" w:firstLine="0" w:firstLineChars="0"/>
        <w:rPr>
          <w:rFonts w:hint="eastAsia"/>
        </w:rPr>
      </w:pPr>
    </w:p>
    <w:p w14:paraId="1F52C6C3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2.1.1.2.3.2</w:t>
      </w:r>
      <w:r>
        <w:rPr>
          <w:rFonts w:hint="eastAsia" w:ascii="Times New Roman" w:hAnsi="Times New Roman"/>
          <w:sz w:val="24"/>
          <w:szCs w:val="24"/>
        </w:rPr>
        <w:t>太阴人</w:t>
      </w:r>
    </w:p>
    <w:p w14:paraId="4B3683C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治法：通利肺气，活血化瘀止痛。</w:t>
      </w:r>
    </w:p>
    <w:p w14:paraId="46D7CE6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方药：加味寒少汤（《东医四象新编》）</w:t>
      </w:r>
      <w:r>
        <w:rPr>
          <w:rFonts w:hint="eastAsia"/>
          <w:sz w:val="24"/>
          <w:szCs w:val="24"/>
          <w:lang w:val="en-US" w:eastAsia="zh-CN"/>
        </w:rPr>
        <w:t>合</w:t>
      </w:r>
      <w:r>
        <w:rPr>
          <w:rFonts w:hint="eastAsia"/>
          <w:sz w:val="24"/>
          <w:szCs w:val="24"/>
        </w:rPr>
        <w:t>熊胆散（《东医寿世保元》）。服用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06D5200D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/>
          <w:sz w:val="24"/>
          <w:szCs w:val="24"/>
        </w:rPr>
        <w:t>续断、葛根、黄芩、藁本、莱菔子、桔梗、升麻、白芷、熊胆（1.5~2.5g温水吞服）。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5F1F57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</w:p>
    <w:p w14:paraId="757165A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2.1.1.2.3.3</w:t>
      </w:r>
      <w:r>
        <w:rPr>
          <w:rFonts w:hint="eastAsia" w:ascii="Times New Roman" w:hAnsi="Times New Roman"/>
          <w:sz w:val="24"/>
          <w:szCs w:val="24"/>
        </w:rPr>
        <w:t>少阳人</w:t>
      </w:r>
    </w:p>
    <w:p w14:paraId="723D2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治法：补肾通窍，活血化瘀止痛。</w:t>
      </w:r>
    </w:p>
    <w:p w14:paraId="398BB8A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方药：乳香没药轻粉丸（《东医寿世保元》）。服用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2F3A219D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常用药：轻粉、</w:t>
      </w:r>
      <w:r>
        <w:rPr>
          <w:rFonts w:hint="eastAsia"/>
          <w:sz w:val="24"/>
          <w:szCs w:val="24"/>
        </w:rPr>
        <w:t>乳香、没药</w:t>
      </w:r>
      <w:r>
        <w:rPr>
          <w:rFonts w:hint="eastAsia"/>
          <w:sz w:val="24"/>
          <w:szCs w:val="24"/>
          <w:lang w:eastAsia="zh-CN"/>
        </w:rPr>
        <w:t>、甘遂</w:t>
      </w:r>
      <w:r>
        <w:rPr>
          <w:rFonts w:hint="eastAsia"/>
          <w:sz w:val="24"/>
          <w:szCs w:val="24"/>
        </w:rPr>
        <w:t>分作三十丸。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5）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5ABA1A72">
      <w:pPr>
        <w:pStyle w:val="3"/>
      </w:pPr>
    </w:p>
    <w:p w14:paraId="67312945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2.1.1.2.3.4</w:t>
      </w:r>
      <w:r>
        <w:rPr>
          <w:rFonts w:hint="eastAsia" w:ascii="Times New Roman" w:hAnsi="Times New Roman"/>
          <w:sz w:val="24"/>
          <w:szCs w:val="24"/>
        </w:rPr>
        <w:t>少阴人</w:t>
      </w:r>
    </w:p>
    <w:p w14:paraId="59FC8AC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治法：温补脾胃，活血化瘀止痛。</w:t>
      </w:r>
    </w:p>
    <w:p w14:paraId="748DACA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方药：如神汤（《东医四象新编》）。服用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</w:rPr>
        <w:t>天，根据病情调方或遵医嘱。</w:t>
      </w:r>
    </w:p>
    <w:p w14:paraId="6B194939">
      <w:pPr>
        <w:pStyle w:val="30"/>
        <w:numPr>
          <w:ilvl w:val="0"/>
          <w:numId w:val="0"/>
        </w:numPr>
        <w:autoSpaceDN w:val="0"/>
        <w:adjustRightInd w:val="0"/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常用药：</w:t>
      </w:r>
      <w:r>
        <w:rPr>
          <w:rFonts w:hint="eastAsia"/>
          <w:sz w:val="24"/>
          <w:szCs w:val="24"/>
        </w:rPr>
        <w:t>延胡索、当归、桂心、香附子、木香。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（药物比例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），每日1剂，水煎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，分3次服。</w:t>
      </w:r>
    </w:p>
    <w:p w14:paraId="7B1130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 w14:paraId="769D295E">
      <w:pPr>
        <w:spacing w:line="360" w:lineRule="auto"/>
        <w:ind w:left="11" w:hanging="11"/>
        <w:outlineLvl w:val="1"/>
        <w:rPr>
          <w:rFonts w:hint="eastAsia" w:ascii="宋体" w:hAnsi="宋体" w:eastAsia="宋体" w:cs="宋体"/>
          <w:b/>
          <w:bCs w:val="0"/>
          <w:color w:val="auto"/>
          <w:szCs w:val="21"/>
        </w:rPr>
      </w:pPr>
      <w:bookmarkStart w:id="22" w:name="_Toc13546"/>
      <w:r>
        <w:rPr>
          <w:rFonts w:hint="eastAsia" w:ascii="宋体" w:hAnsi="宋体" w:eastAsia="宋体" w:cs="宋体"/>
          <w:b/>
          <w:bCs w:val="0"/>
          <w:color w:val="auto"/>
          <w:szCs w:val="21"/>
          <w:lang w:val="en-US" w:eastAsia="zh-CN"/>
        </w:rPr>
        <w:t>2.1.2朝医</w:t>
      </w:r>
      <w:r>
        <w:rPr>
          <w:rFonts w:hint="eastAsia" w:ascii="宋体" w:hAnsi="宋体" w:eastAsia="宋体" w:cs="宋体"/>
          <w:b/>
          <w:bCs w:val="0"/>
          <w:color w:val="auto"/>
          <w:szCs w:val="21"/>
        </w:rPr>
        <w:t>成药</w:t>
      </w:r>
      <w:bookmarkEnd w:id="22"/>
    </w:p>
    <w:p w14:paraId="76A6204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松针正脑丸（院内制剂）。均适用于四象人。</w:t>
      </w:r>
    </w:p>
    <w:p w14:paraId="7E39BDE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eastAsia="宋体"/>
          <w:color w:val="auto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注：以上方剂及口服成药，根据患者病情确定服用时间、频次、疗程。</w:t>
      </w:r>
    </w:p>
    <w:p w14:paraId="1A2FC03E">
      <w:pPr>
        <w:pStyle w:val="5"/>
        <w:rPr>
          <w:rFonts w:hint="eastAsia" w:asciiTheme="minorEastAsia" w:hAnsiTheme="minorEastAsia" w:eastAsiaTheme="minorEastAsia" w:cstheme="minorEastAsia"/>
          <w:sz w:val="24"/>
        </w:rPr>
      </w:pPr>
      <w:bookmarkStart w:id="23" w:name="_Toc219841224"/>
      <w:bookmarkStart w:id="24" w:name="_Toc32351"/>
      <w:r>
        <w:rPr>
          <w:rFonts w:hint="eastAsia" w:asciiTheme="minorEastAsia" w:hAnsiTheme="minorEastAsia" w:eastAsiaTheme="minorEastAsia" w:cstheme="minorEastAsia"/>
          <w:sz w:val="24"/>
        </w:rPr>
        <w:t>2.2外治疗法</w:t>
      </w:r>
      <w:bookmarkEnd w:id="23"/>
      <w:bookmarkEnd w:id="24"/>
    </w:p>
    <w:p w14:paraId="232C5D44">
      <w:pPr>
        <w:pStyle w:val="5"/>
        <w:rPr>
          <w:sz w:val="21"/>
          <w:szCs w:val="21"/>
        </w:rPr>
      </w:pPr>
      <w:bookmarkStart w:id="25" w:name="_Toc27488"/>
      <w:r>
        <w:rPr>
          <w:rFonts w:hint="eastAsia"/>
          <w:sz w:val="21"/>
          <w:szCs w:val="21"/>
        </w:rPr>
        <w:t>2.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</w:rPr>
        <w:t>.1</w:t>
      </w:r>
      <w:r>
        <w:rPr>
          <w:rFonts w:hint="eastAsia"/>
          <w:sz w:val="21"/>
          <w:szCs w:val="21"/>
          <w:lang w:eastAsia="zh-CN"/>
        </w:rPr>
        <w:t>太极针刺</w:t>
      </w:r>
      <w:r>
        <w:rPr>
          <w:rFonts w:hint="eastAsia"/>
          <w:sz w:val="21"/>
          <w:szCs w:val="21"/>
        </w:rPr>
        <w:t>法（</w:t>
      </w:r>
      <w:r>
        <w:rPr>
          <w:rFonts w:ascii="Times New Roman" w:hAnsi="Times New Roman" w:cs="Times New Roman"/>
          <w:sz w:val="21"/>
          <w:szCs w:val="21"/>
          <w:highlight w:val="none"/>
        </w:rPr>
        <w:t>DB22/T 2748-2017</w:t>
      </w:r>
      <w:r>
        <w:rPr>
          <w:rFonts w:hint="eastAsia"/>
          <w:sz w:val="21"/>
          <w:szCs w:val="21"/>
        </w:rPr>
        <w:t>）</w:t>
      </w:r>
      <w:bookmarkEnd w:id="25"/>
    </w:p>
    <w:p w14:paraId="139C8669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2.2.1.1</w:t>
      </w:r>
      <w:r>
        <w:rPr>
          <w:rFonts w:hint="eastAsia" w:ascii="Times New Roman" w:hAnsi="Times New Roman"/>
          <w:sz w:val="24"/>
          <w:szCs w:val="24"/>
        </w:rPr>
        <w:t>主穴</w:t>
      </w:r>
    </w:p>
    <w:p w14:paraId="70853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百会、神庭、头维、风池。</w:t>
      </w:r>
    </w:p>
    <w:p w14:paraId="09BE751D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2.2.1.2</w:t>
      </w:r>
      <w:r>
        <w:rPr>
          <w:rFonts w:hint="eastAsia"/>
          <w:sz w:val="24"/>
          <w:szCs w:val="24"/>
        </w:rPr>
        <w:t>配穴</w:t>
      </w:r>
    </w:p>
    <w:p w14:paraId="2C3DC75F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2.2.1.2.1</w:t>
      </w:r>
      <w:r>
        <w:rPr>
          <w:rFonts w:hint="eastAsia"/>
          <w:sz w:val="24"/>
          <w:szCs w:val="24"/>
        </w:rPr>
        <w:t>太阳人</w:t>
      </w:r>
    </w:p>
    <w:p w14:paraId="5C6E2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治法：补肝泻肺，止痛。</w:t>
      </w:r>
    </w:p>
    <w:p w14:paraId="048BC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取穴：少商、太渊、太冲。</w:t>
      </w:r>
    </w:p>
    <w:p w14:paraId="41615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方法：少商穴点刺放血，用捻转手技补泻法泻太渊、补太冲。</w:t>
      </w:r>
    </w:p>
    <w:p w14:paraId="0492F4E8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2.2.1.2.2</w:t>
      </w:r>
      <w:r>
        <w:rPr>
          <w:rFonts w:hint="eastAsia"/>
          <w:sz w:val="24"/>
          <w:szCs w:val="24"/>
        </w:rPr>
        <w:t>太阴人</w:t>
      </w:r>
    </w:p>
    <w:p w14:paraId="7CF05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治法：补肺泻肝，化痰止痛。</w:t>
      </w:r>
    </w:p>
    <w:p w14:paraId="769FF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取穴：太渊、太冲、丰隆、百会。</w:t>
      </w:r>
    </w:p>
    <w:p w14:paraId="3B633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方法：用捻转手技补泻法补太渊、泻太冲，取</w:t>
      </w:r>
      <w:r>
        <w:rPr>
          <w:rFonts w:hint="eastAsia"/>
          <w:sz w:val="24"/>
          <w:szCs w:val="24"/>
        </w:rPr>
        <w:t>平补平泻法针刺丰隆、百会穴。</w:t>
      </w:r>
    </w:p>
    <w:p w14:paraId="419DE095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2.2.1.2.3</w:t>
      </w:r>
      <w:r>
        <w:rPr>
          <w:rFonts w:hint="eastAsia"/>
          <w:sz w:val="24"/>
          <w:szCs w:val="24"/>
        </w:rPr>
        <w:t>少阳人</w:t>
      </w:r>
    </w:p>
    <w:p w14:paraId="00878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治法：泻脾火，补肾，通络。</w:t>
      </w:r>
    </w:p>
    <w:p w14:paraId="20F59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取穴：太白、太溪。</w:t>
      </w:r>
    </w:p>
    <w:p w14:paraId="0D9D1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方法：用捻转手技补泻法泻太</w:t>
      </w:r>
      <w:r>
        <w:rPr>
          <w:rFonts w:hint="eastAsia"/>
          <w:sz w:val="24"/>
          <w:szCs w:val="24"/>
        </w:rPr>
        <w:t>白、补太溪。</w:t>
      </w:r>
    </w:p>
    <w:p w14:paraId="768666A4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2.2.1.2.4</w:t>
      </w:r>
      <w:r>
        <w:rPr>
          <w:rFonts w:hint="eastAsia"/>
          <w:sz w:val="24"/>
          <w:szCs w:val="24"/>
        </w:rPr>
        <w:t>少阴人</w:t>
      </w:r>
    </w:p>
    <w:p w14:paraId="330AF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治法：益气健脾，止痛。</w:t>
      </w:r>
    </w:p>
    <w:p w14:paraId="641DE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取穴：足三里、合谷、中脘、气海。</w:t>
      </w:r>
    </w:p>
    <w:p w14:paraId="021BD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highlight w:val="none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方法：用捻转手技补泻法补足三里</w:t>
      </w:r>
      <w:r>
        <w:rPr>
          <w:rFonts w:hint="eastAsia"/>
          <w:sz w:val="24"/>
          <w:szCs w:val="24"/>
        </w:rPr>
        <w:t>、泻合谷，温灸中脘、气海穴。</w:t>
      </w:r>
    </w:p>
    <w:p w14:paraId="6637AE69">
      <w:pPr>
        <w:pStyle w:val="13"/>
        <w:spacing w:line="360" w:lineRule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2.2.1.3治疗时间与疗程</w:t>
      </w:r>
    </w:p>
    <w:p w14:paraId="0B661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根据</w:t>
      </w:r>
      <w:bookmarkStart w:id="26" w:name="_Toc14270"/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《朝医太极针刺法操作规范》</w:t>
      </w:r>
      <w:bookmarkEnd w:id="26"/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操作，每日一次，每次留针30分钟，15天为一疗程，可根据病情连续治疗2-3疗程。</w:t>
      </w:r>
    </w:p>
    <w:p w14:paraId="7891680F">
      <w:pPr>
        <w:pStyle w:val="13"/>
        <w:spacing w:line="360" w:lineRule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2.2.1.4注意事项：</w:t>
      </w:r>
    </w:p>
    <w:p w14:paraId="557465C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2.2.1.4.1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废针处理应符合《医疗垃圾管理办法》的规定。</w:t>
      </w:r>
    </w:p>
    <w:p w14:paraId="3E13A4B9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2.2.1.4.2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施术过程中，如某些刺法需要触及针体时，应当用消毒棉球作间隔物，医者手指不宜直接接触针体。</w:t>
      </w:r>
    </w:p>
    <w:p w14:paraId="6DDF3AF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2.2.1.4.3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行针时，提插幅度和捻转角度的大小、频率的快慢、时间的长短等，应根据患者的具体情况和医者所要达到的目的而灵活掌握。</w:t>
      </w:r>
    </w:p>
    <w:p w14:paraId="019BDD7E">
      <w:pPr>
        <w:spacing w:line="360" w:lineRule="auto"/>
        <w:jc w:val="left"/>
        <w:rPr>
          <w:rFonts w:ascii="Times New Roman" w:hAnsi="Times New Roman" w:eastAsia="黑体" w:cs="Times New Roman"/>
          <w:sz w:val="24"/>
          <w:szCs w:val="24"/>
          <w:highlight w:val="none"/>
        </w:rPr>
      </w:pPr>
      <w:r>
        <w:rPr>
          <w:rFonts w:hint="eastAsia" w:eastAsia="黑体" w:cs="Times New Roman"/>
          <w:kern w:val="0"/>
          <w:sz w:val="24"/>
          <w:szCs w:val="24"/>
          <w:highlight w:val="none"/>
          <w:lang w:val="en-US" w:eastAsia="zh-CN"/>
        </w:rPr>
        <w:t>2.2.1.5</w:t>
      </w:r>
      <w:r>
        <w:rPr>
          <w:rFonts w:ascii="Times New Roman" w:hAnsi="Times New Roman" w:eastAsia="黑体" w:cs="Times New Roman"/>
          <w:kern w:val="0"/>
          <w:sz w:val="24"/>
          <w:szCs w:val="24"/>
          <w:highlight w:val="none"/>
        </w:rPr>
        <w:t xml:space="preserve"> </w:t>
      </w:r>
      <w:r>
        <w:rPr>
          <w:rFonts w:hint="eastAsia" w:ascii="Times New Roman" w:hAnsi="Times New Roman" w:eastAsia="黑体" w:cs="Times New Roman"/>
          <w:kern w:val="0"/>
          <w:sz w:val="24"/>
          <w:szCs w:val="24"/>
          <w:highlight w:val="none"/>
        </w:rPr>
        <w:t>禁忌</w:t>
      </w:r>
    </w:p>
    <w:p w14:paraId="5C270FE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2.2.1.5.1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饥饿、饱食、醉酒、大怒、大惊、过度疲劳、精神紧张者，不宜立即进行针刺；体质虚弱、气血亏损者，其针感不宜过重，应尽量采取卧位行针。</w:t>
      </w:r>
    </w:p>
    <w:p w14:paraId="5A5FBDF2">
      <w:pPr>
        <w:spacing w:line="360" w:lineRule="auto"/>
        <w:jc w:val="left"/>
        <w:rPr>
          <w:rFonts w:ascii="Times New Roman" w:hAnsi="Times New Roman" w:eastAsia="黑体" w:cs="Times New Roman"/>
          <w:kern w:val="0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2.2.1.5.2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针刺时应避开大血管，腧穴深部有重要脏器时应掌握针刺深度，切不可伤及脏器。</w:t>
      </w:r>
      <w:r>
        <w:rPr>
          <w:rFonts w:ascii="Times New Roman" w:hAnsi="Times New Roman" w:eastAsia="黑体" w:cs="Times New Roman"/>
          <w:kern w:val="0"/>
          <w:sz w:val="24"/>
          <w:szCs w:val="24"/>
          <w:highlight w:val="none"/>
        </w:rPr>
        <w:t xml:space="preserve"> </w:t>
      </w:r>
    </w:p>
    <w:p w14:paraId="1D4529AC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eastAsia="黑体" w:cs="Times New Roman"/>
          <w:kern w:val="0"/>
          <w:sz w:val="24"/>
          <w:szCs w:val="24"/>
          <w:highlight w:val="none"/>
          <w:lang w:val="en-US" w:eastAsia="zh-CN"/>
        </w:rPr>
        <w:t>2.2.1.5.3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皮肤有感染、溃疡、瘢痕或肿瘤部位，除特殊治疗需要外，均不应在患部直接针刺。</w:t>
      </w:r>
    </w:p>
    <w:p w14:paraId="59C5EEB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2.2.1.5.4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本针法取穴多为肘、膝以下部位，刺激量大，不适宜于孕妇。</w:t>
      </w:r>
    </w:p>
    <w:p w14:paraId="330CBC59">
      <w:pPr>
        <w:pStyle w:val="13"/>
        <w:spacing w:line="360" w:lineRule="auto"/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</w:pPr>
      <w:r>
        <w:rPr>
          <w:rFonts w:hint="eastAsia" w:cs="Times New Roman"/>
          <w:kern w:val="0"/>
          <w:sz w:val="24"/>
          <w:szCs w:val="24"/>
          <w:highlight w:val="none"/>
          <w:lang w:val="en-US" w:eastAsia="zh-CN"/>
        </w:rPr>
        <w:t>2.2.1.5.5</w:t>
      </w:r>
      <w:r>
        <w:rPr>
          <w:rFonts w:hint="eastAsia" w:ascii="Times New Roman" w:hAnsi="Times New Roman" w:cs="Times New Roman"/>
          <w:kern w:val="0"/>
          <w:sz w:val="24"/>
          <w:szCs w:val="24"/>
          <w:highlight w:val="none"/>
        </w:rPr>
        <w:t>有凝血机制障碍的患者，应禁用针刺。</w:t>
      </w:r>
    </w:p>
    <w:p w14:paraId="4A0AA433">
      <w:pPr>
        <w:pStyle w:val="5"/>
        <w:rPr>
          <w:rFonts w:hint="default" w:eastAsia="Malgun Gothic"/>
          <w:sz w:val="21"/>
          <w:szCs w:val="21"/>
          <w:lang w:val="en-US" w:eastAsia="ko-KR"/>
        </w:rPr>
      </w:pPr>
      <w:bookmarkStart w:id="27" w:name="_Toc30511"/>
      <w:r>
        <w:rPr>
          <w:rFonts w:hint="eastAsia"/>
          <w:sz w:val="21"/>
          <w:szCs w:val="21"/>
        </w:rPr>
        <w:t>2.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</w:rPr>
        <w:t>.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  <w:lang w:eastAsia="zh-CN"/>
        </w:rPr>
        <w:t>药枕疗法（</w:t>
      </w:r>
      <w:r>
        <w:rPr>
          <w:sz w:val="21"/>
          <w:szCs w:val="21"/>
          <w:highlight w:val="none"/>
        </w:rPr>
        <w:t>CYBZ-2016-02</w:t>
      </w:r>
      <w:r>
        <w:rPr>
          <w:rFonts w:hint="eastAsia"/>
          <w:sz w:val="21"/>
          <w:szCs w:val="21"/>
          <w:lang w:eastAsia="zh-CN"/>
        </w:rPr>
        <w:t>）</w:t>
      </w:r>
      <w:bookmarkEnd w:id="27"/>
    </w:p>
    <w:p w14:paraId="2103C4AE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2.2.2.1</w:t>
      </w:r>
      <w:r>
        <w:rPr>
          <w:rFonts w:hint="eastAsia"/>
          <w:sz w:val="24"/>
          <w:szCs w:val="24"/>
        </w:rPr>
        <w:t>药物配伍</w:t>
      </w:r>
    </w:p>
    <w:p w14:paraId="25088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根据四象人的脏局特点选药物。</w:t>
      </w:r>
    </w:p>
    <w:p w14:paraId="1AF23EE0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2.2.2.1.1</w:t>
      </w:r>
      <w:r>
        <w:rPr>
          <w:rFonts w:hint="eastAsia"/>
          <w:sz w:val="24"/>
          <w:szCs w:val="24"/>
        </w:rPr>
        <w:t>太阳人</w:t>
      </w:r>
    </w:p>
    <w:p w14:paraId="6D7A3E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五加皮、荞麦各等分，共研末，装入到枕芯。</w:t>
      </w:r>
    </w:p>
    <w:p w14:paraId="1E3B6474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2.2.2.1.2</w:t>
      </w:r>
      <w:r>
        <w:rPr>
          <w:rFonts w:hint="eastAsia"/>
          <w:sz w:val="24"/>
          <w:szCs w:val="24"/>
        </w:rPr>
        <w:t>太阴人</w:t>
      </w:r>
    </w:p>
    <w:p w14:paraId="127A841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桔梗、石菖蒲、远志、藁本各等分</w:t>
      </w:r>
      <w:r>
        <w:rPr>
          <w:rFonts w:hint="eastAsia"/>
          <w:sz w:val="24"/>
          <w:szCs w:val="24"/>
        </w:rPr>
        <w:t>，共研末，装入到枕芯。</w:t>
      </w:r>
    </w:p>
    <w:p w14:paraId="11F8B18A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2.2.2.1.3</w:t>
      </w:r>
      <w:r>
        <w:rPr>
          <w:rFonts w:hint="eastAsia"/>
          <w:sz w:val="24"/>
          <w:szCs w:val="24"/>
        </w:rPr>
        <w:t>少阳人</w:t>
      </w:r>
    </w:p>
    <w:p w14:paraId="4B404316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山茱萸、牡丹皮、薄荷、红花各等分，共研末，装入</w:t>
      </w:r>
      <w:r>
        <w:rPr>
          <w:rFonts w:hint="eastAsia"/>
          <w:sz w:val="24"/>
          <w:szCs w:val="24"/>
        </w:rPr>
        <w:t>到枕芯。</w:t>
      </w:r>
    </w:p>
    <w:p w14:paraId="31A668A9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2.2.2.1.4</w:t>
      </w:r>
      <w:r>
        <w:rPr>
          <w:rFonts w:hint="eastAsia"/>
          <w:sz w:val="24"/>
          <w:szCs w:val="24"/>
        </w:rPr>
        <w:t>少阴人</w:t>
      </w:r>
    </w:p>
    <w:p w14:paraId="6EE2BBD5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桂枝、当归、川芎、陈皮各等分，共研末，装入到枕芯。</w:t>
      </w:r>
    </w:p>
    <w:p w14:paraId="2E28505D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2.2.2.2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具体操作</w:t>
      </w:r>
    </w:p>
    <w:p w14:paraId="08552DF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采取舒适体位，使药物能贴近皮肤，将药枕放在患者枕头上面。</w:t>
      </w:r>
    </w:p>
    <w:p w14:paraId="2B490B90">
      <w:pPr>
        <w:pStyle w:val="26"/>
        <w:numPr>
          <w:ilvl w:val="0"/>
          <w:numId w:val="0"/>
        </w:numPr>
        <w:spacing w:beforeLines="50" w:afterLines="50" w:line="360" w:lineRule="auto"/>
        <w:rPr>
          <w:rFonts w:hint="eastAsia" w:ascii="Times New Roman"/>
          <w:sz w:val="24"/>
          <w:szCs w:val="24"/>
          <w:highlight w:val="none"/>
        </w:rPr>
      </w:pPr>
      <w:bookmarkStart w:id="28" w:name="_Toc3707"/>
      <w:bookmarkStart w:id="29" w:name="_Toc8377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2.2.2.3</w:t>
      </w:r>
      <w:r>
        <w:rPr>
          <w:rFonts w:hint="eastAsia" w:ascii="Times New Roman"/>
          <w:sz w:val="24"/>
          <w:szCs w:val="24"/>
          <w:highlight w:val="none"/>
        </w:rPr>
        <w:t>注意事项</w:t>
      </w:r>
      <w:bookmarkEnd w:id="28"/>
      <w:bookmarkEnd w:id="29"/>
    </w:p>
    <w:p w14:paraId="39654193">
      <w:pPr>
        <w:pStyle w:val="26"/>
        <w:numPr>
          <w:ilvl w:val="0"/>
          <w:numId w:val="0"/>
        </w:numPr>
        <w:spacing w:beforeLines="50" w:afterLines="50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30" w:name="_Toc13009"/>
      <w:bookmarkStart w:id="31" w:name="_Toc16097"/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 w:bidi="ar-SA"/>
        </w:rPr>
        <w:t>2.2.2.3.1定期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翻晒枕芯，定期更换药物。应经常放在通风处翻晒。使用中要保持枕头的透气性。</w:t>
      </w:r>
      <w:bookmarkEnd w:id="30"/>
      <w:bookmarkEnd w:id="31"/>
    </w:p>
    <w:p w14:paraId="59A83207">
      <w:pPr>
        <w:pStyle w:val="28"/>
        <w:numPr>
          <w:ilvl w:val="1"/>
          <w:numId w:val="0"/>
        </w:numPr>
        <w:spacing w:line="360" w:lineRule="auto"/>
        <w:rPr>
          <w:rFonts w:ascii="Times New Roman"/>
          <w:sz w:val="24"/>
          <w:szCs w:val="24"/>
          <w:highlight w:val="none"/>
        </w:rPr>
      </w:pPr>
      <w:bookmarkStart w:id="32" w:name="_Toc6012"/>
      <w:bookmarkStart w:id="33" w:name="_Toc25505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2.2.2.3.2</w:t>
      </w:r>
      <w:r>
        <w:rPr>
          <w:rFonts w:hint="eastAsia" w:ascii="Times New Roman"/>
          <w:sz w:val="24"/>
          <w:szCs w:val="24"/>
          <w:highlight w:val="none"/>
        </w:rPr>
        <w:t>使用药枕时间不宜太短。每晚用枕时间不应少于</w:t>
      </w:r>
      <w:r>
        <w:rPr>
          <w:rFonts w:ascii="Times New Roman"/>
          <w:sz w:val="24"/>
          <w:szCs w:val="24"/>
          <w:highlight w:val="none"/>
        </w:rPr>
        <w:t>6</w:t>
      </w:r>
      <w:r>
        <w:rPr>
          <w:rFonts w:hint="eastAsia" w:ascii="Times New Roman"/>
          <w:sz w:val="24"/>
          <w:szCs w:val="24"/>
          <w:highlight w:val="none"/>
        </w:rPr>
        <w:t>个小时。一般连续使用</w:t>
      </w:r>
      <w:r>
        <w:rPr>
          <w:rFonts w:ascii="Times New Roman"/>
          <w:sz w:val="24"/>
          <w:szCs w:val="24"/>
          <w:highlight w:val="none"/>
        </w:rPr>
        <w:t>1</w:t>
      </w:r>
      <w:r>
        <w:rPr>
          <w:rFonts w:hint="eastAsia" w:ascii="Times New Roman"/>
          <w:sz w:val="24"/>
          <w:szCs w:val="24"/>
          <w:highlight w:val="none"/>
        </w:rPr>
        <w:t>月后，效果才会明显稳定。</w:t>
      </w:r>
      <w:bookmarkEnd w:id="32"/>
      <w:bookmarkEnd w:id="33"/>
    </w:p>
    <w:p w14:paraId="533CD5F5">
      <w:pPr>
        <w:pStyle w:val="28"/>
        <w:numPr>
          <w:ilvl w:val="1"/>
          <w:numId w:val="0"/>
        </w:numPr>
        <w:spacing w:line="360" w:lineRule="auto"/>
        <w:rPr>
          <w:rFonts w:ascii="Times New Roman"/>
          <w:sz w:val="24"/>
          <w:szCs w:val="24"/>
          <w:highlight w:val="none"/>
        </w:rPr>
      </w:pPr>
      <w:bookmarkStart w:id="34" w:name="_Toc5656"/>
      <w:bookmarkStart w:id="35" w:name="_Toc10802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2.2.2.3.3</w:t>
      </w:r>
      <w:r>
        <w:rPr>
          <w:rFonts w:hint="eastAsia" w:ascii="Times New Roman"/>
          <w:sz w:val="24"/>
          <w:szCs w:val="24"/>
          <w:highlight w:val="none"/>
        </w:rPr>
        <w:t>保持药枕的透气性和弹性。一般药枕枕芯，有条件者，以一个月更换一次为宜。</w:t>
      </w:r>
      <w:bookmarkEnd w:id="34"/>
      <w:bookmarkEnd w:id="35"/>
    </w:p>
    <w:p w14:paraId="7D6CD08D">
      <w:pPr>
        <w:pStyle w:val="28"/>
        <w:numPr>
          <w:ilvl w:val="1"/>
          <w:numId w:val="0"/>
        </w:numPr>
        <w:spacing w:line="360" w:lineRule="auto"/>
        <w:rPr>
          <w:rFonts w:ascii="Times New Roman"/>
          <w:sz w:val="24"/>
          <w:szCs w:val="24"/>
          <w:highlight w:val="none"/>
        </w:rPr>
      </w:pPr>
      <w:bookmarkStart w:id="36" w:name="_Toc369"/>
      <w:bookmarkStart w:id="37" w:name="_Toc20140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2.2.2.3.4</w:t>
      </w:r>
      <w:r>
        <w:rPr>
          <w:rFonts w:hint="eastAsia" w:ascii="Times New Roman"/>
          <w:sz w:val="24"/>
          <w:szCs w:val="24"/>
          <w:highlight w:val="none"/>
        </w:rPr>
        <w:t>因人施枕。因太少阴阳人个体体质有差异，各象人之间不得交叉使用。</w:t>
      </w:r>
      <w:bookmarkEnd w:id="36"/>
      <w:bookmarkEnd w:id="37"/>
    </w:p>
    <w:p w14:paraId="0FB07066">
      <w:pPr>
        <w:pStyle w:val="28"/>
        <w:numPr>
          <w:ilvl w:val="1"/>
          <w:numId w:val="0"/>
        </w:numPr>
        <w:spacing w:line="360" w:lineRule="auto"/>
        <w:rPr>
          <w:rFonts w:ascii="Times New Roman"/>
          <w:sz w:val="24"/>
          <w:szCs w:val="24"/>
          <w:highlight w:val="none"/>
        </w:rPr>
      </w:pPr>
      <w:bookmarkStart w:id="38" w:name="_Toc729"/>
      <w:bookmarkStart w:id="39" w:name="_Toc29915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2.2.2.3.5</w:t>
      </w:r>
      <w:r>
        <w:rPr>
          <w:rFonts w:hint="eastAsia" w:ascii="Times New Roman"/>
          <w:sz w:val="24"/>
          <w:szCs w:val="24"/>
          <w:highlight w:val="none"/>
        </w:rPr>
        <w:t>使用药枕，睡姿随意，仰卧、侧卧均可，入睡前最好饮一杯温开水，以防芳香类朝药耗伤阴津。</w:t>
      </w:r>
      <w:bookmarkEnd w:id="38"/>
      <w:bookmarkEnd w:id="39"/>
    </w:p>
    <w:p w14:paraId="2836D08A">
      <w:pPr>
        <w:pStyle w:val="28"/>
        <w:numPr>
          <w:ilvl w:val="1"/>
          <w:numId w:val="0"/>
        </w:numPr>
        <w:spacing w:line="360" w:lineRule="auto"/>
        <w:rPr>
          <w:rFonts w:hint="eastAsia" w:ascii="Times New Roman"/>
          <w:sz w:val="24"/>
          <w:szCs w:val="24"/>
          <w:highlight w:val="none"/>
        </w:rPr>
      </w:pPr>
      <w:bookmarkStart w:id="40" w:name="_Toc2855"/>
      <w:bookmarkStart w:id="41" w:name="_Toc4410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2.2.2.3.6</w:t>
      </w:r>
      <w:r>
        <w:rPr>
          <w:rFonts w:hint="eastAsia" w:ascii="Times New Roman"/>
          <w:sz w:val="24"/>
          <w:szCs w:val="24"/>
          <w:highlight w:val="none"/>
        </w:rPr>
        <w:t>使用中如出现皮肤瘙痒、斑疹、发红等过敏现象，应立即停止使用药枕，并做抗过敏治疗。</w:t>
      </w:r>
      <w:bookmarkEnd w:id="40"/>
      <w:bookmarkEnd w:id="41"/>
    </w:p>
    <w:p w14:paraId="23DA766C">
      <w:pPr>
        <w:pStyle w:val="28"/>
        <w:numPr>
          <w:ilvl w:val="1"/>
          <w:numId w:val="0"/>
        </w:numPr>
        <w:spacing w:line="360" w:lineRule="auto"/>
        <w:rPr>
          <w:rFonts w:hint="eastAsia" w:ascii="Times New Roman"/>
          <w:sz w:val="24"/>
          <w:szCs w:val="24"/>
          <w:highlight w:val="none"/>
          <w:lang w:val="en-US" w:eastAsia="zh-CN"/>
        </w:rPr>
      </w:pPr>
      <w:bookmarkStart w:id="42" w:name="_Toc22397"/>
      <w:bookmarkStart w:id="43" w:name="_Toc8875"/>
      <w:r>
        <w:rPr>
          <w:rFonts w:hint="eastAsia" w:ascii="Times New Roman"/>
          <w:sz w:val="24"/>
          <w:szCs w:val="24"/>
          <w:highlight w:val="none"/>
          <w:lang w:val="en-US" w:eastAsia="zh-CN"/>
        </w:rPr>
        <w:t>2.2.2.4治疗时间与疗程</w:t>
      </w:r>
      <w:bookmarkEnd w:id="42"/>
      <w:bookmarkEnd w:id="43"/>
    </w:p>
    <w:p w14:paraId="4D6DE58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</w:pPr>
      <w:r>
        <w:rPr>
          <w:rFonts w:hint="eastAsia" w:ascii="Times New Roman" w:hAnsi="Times New Roman" w:eastAsia="宋体" w:cs="Arial Unicode MS"/>
          <w:kern w:val="2"/>
          <w:sz w:val="24"/>
          <w:szCs w:val="24"/>
          <w:lang w:val="en-US" w:eastAsia="zh-CN" w:bidi="bo-CN"/>
        </w:rPr>
        <w:t>每晚用枕时间6-8小时为宜，连续枕2-3周，1个月为一个疗程。</w:t>
      </w:r>
    </w:p>
    <w:p w14:paraId="01453CF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default"/>
          <w:color w:val="auto"/>
          <w:sz w:val="24"/>
          <w:szCs w:val="24"/>
          <w:highlight w:val="none"/>
          <w:lang w:val="en-US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注：以上朝医外治法，根据患者病情程度进行选择，病情较轻者选择一种即可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，病情较重的多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选择两种以上朝医外治法联合治疗</w:t>
      </w:r>
      <w:r>
        <w:rPr>
          <w:rFonts w:hint="eastAsia"/>
          <w:b/>
          <w:bCs/>
          <w:color w:val="auto"/>
          <w:lang w:val="en-US" w:eastAsia="zh-CN"/>
        </w:rPr>
        <w:t>。</w:t>
      </w:r>
    </w:p>
    <w:p w14:paraId="71880FAE">
      <w:pPr>
        <w:pStyle w:val="4"/>
      </w:pPr>
      <w:bookmarkStart w:id="44" w:name="_Toc11803"/>
      <w:r>
        <w:rPr>
          <w:rFonts w:hint="eastAsia"/>
        </w:rPr>
        <w:t>3护理调摄</w:t>
      </w:r>
      <w:bookmarkEnd w:id="44"/>
    </w:p>
    <w:p w14:paraId="0D0C6358">
      <w:pPr>
        <w:adjustRightInd w:val="0"/>
        <w:snapToGrid w:val="0"/>
        <w:spacing w:line="360" w:lineRule="auto"/>
        <w:rPr>
          <w:rStyle w:val="24"/>
          <w:rFonts w:hint="eastAsia" w:ascii="宋体" w:hAnsi="宋体" w:eastAsia="宋体" w:cs="宋体"/>
          <w:sz w:val="20"/>
          <w:szCs w:val="20"/>
        </w:rPr>
      </w:pPr>
      <w:bookmarkStart w:id="45" w:name="_Toc12870"/>
      <w:r>
        <w:rPr>
          <w:rStyle w:val="24"/>
          <w:rFonts w:hint="eastAsia" w:ascii="宋体" w:hAnsi="宋体" w:cs="宋体"/>
          <w:sz w:val="20"/>
          <w:szCs w:val="20"/>
        </w:rPr>
        <w:t>3</w:t>
      </w:r>
      <w:r>
        <w:rPr>
          <w:rStyle w:val="24"/>
          <w:rFonts w:hint="eastAsia" w:ascii="宋体" w:hAnsi="宋体" w:eastAsia="黑体" w:cs="宋体"/>
          <w:sz w:val="20"/>
          <w:szCs w:val="20"/>
          <w:lang w:val="en-US" w:eastAsia="zh-CN"/>
        </w:rPr>
        <w:t>.</w:t>
      </w:r>
      <w:r>
        <w:rPr>
          <w:rStyle w:val="24"/>
          <w:rFonts w:hint="eastAsia" w:ascii="宋体" w:hAnsi="宋体" w:eastAsia="宋体" w:cs="宋体"/>
          <w:sz w:val="20"/>
          <w:szCs w:val="20"/>
        </w:rPr>
        <w:t>1生活起居：</w:t>
      </w:r>
    </w:p>
    <w:bookmarkEnd w:id="45"/>
    <w:p w14:paraId="5CA9092C">
      <w:pPr>
        <w:adjustRightInd w:val="0"/>
        <w:snapToGrid w:val="0"/>
        <w:spacing w:line="360" w:lineRule="auto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3.1.1</w:t>
      </w:r>
      <w:r>
        <w:rPr>
          <w:rFonts w:hint="eastAsia" w:ascii="Times New Roman" w:hAnsi="Times New Roman"/>
          <w:sz w:val="24"/>
          <w:szCs w:val="24"/>
        </w:rPr>
        <w:t>保持规律的作息时间，避免过度疲劳和不规律的生活习惯。</w:t>
      </w:r>
    </w:p>
    <w:p w14:paraId="74383673">
      <w:pPr>
        <w:adjustRightInd w:val="0"/>
        <w:snapToGrid w:val="0"/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3.1.2</w:t>
      </w:r>
      <w:r>
        <w:rPr>
          <w:rFonts w:hint="eastAsia" w:ascii="Times New Roman" w:hAnsi="Times New Roman"/>
          <w:sz w:val="24"/>
          <w:szCs w:val="24"/>
        </w:rPr>
        <w:t>当进行有氧运动，学会放松技巧，助于缓解紧张情绪。</w:t>
      </w:r>
    </w:p>
    <w:p w14:paraId="6E705C7F">
      <w:pPr>
        <w:spacing w:line="360" w:lineRule="auto"/>
        <w:rPr>
          <w:rStyle w:val="24"/>
          <w:rFonts w:hint="eastAsia" w:ascii="宋体" w:hAnsi="宋体" w:eastAsia="宋体" w:cs="宋体"/>
          <w:sz w:val="20"/>
          <w:szCs w:val="20"/>
        </w:rPr>
      </w:pPr>
      <w:bookmarkStart w:id="46" w:name="_Toc7426"/>
      <w:r>
        <w:rPr>
          <w:rStyle w:val="24"/>
          <w:rFonts w:hint="eastAsia" w:ascii="宋体" w:hAnsi="宋体" w:cs="宋体"/>
          <w:sz w:val="20"/>
          <w:szCs w:val="20"/>
        </w:rPr>
        <w:t>3.</w:t>
      </w:r>
      <w:r>
        <w:rPr>
          <w:rStyle w:val="24"/>
          <w:rFonts w:hint="eastAsia" w:ascii="宋体" w:hAnsi="宋体" w:eastAsia="宋体" w:cs="宋体"/>
          <w:sz w:val="20"/>
          <w:szCs w:val="20"/>
        </w:rPr>
        <w:t>2饮食调理：</w:t>
      </w:r>
    </w:p>
    <w:bookmarkEnd w:id="46"/>
    <w:p w14:paraId="3CDFF2B1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宋体"/>
          <w:bCs/>
          <w:sz w:val="24"/>
          <w:szCs w:val="24"/>
          <w:highlight w:val="none"/>
          <w:lang w:val="en-US" w:eastAsia="zh-CN"/>
        </w:rPr>
        <w:t>3.2.1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太阳人</w:t>
      </w:r>
      <w:r>
        <w:rPr>
          <w:rFonts w:hint="eastAsia" w:cs="Times New Roman"/>
          <w:sz w:val="24"/>
          <w:szCs w:val="24"/>
          <w:highlight w:val="none"/>
          <w:lang w:eastAsia="zh-CN"/>
        </w:rPr>
        <w:t>：</w:t>
      </w:r>
      <w:r>
        <w:rPr>
          <w:rFonts w:hint="eastAsia" w:ascii="Times New Roman" w:hAnsi="Times New Roman"/>
          <w:sz w:val="24"/>
          <w:szCs w:val="24"/>
        </w:rPr>
        <w:t>适合生冷淡薄食物，不太适合肥甘厚腻及辛热食物。</w:t>
      </w:r>
    </w:p>
    <w:p w14:paraId="42F0FBA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cs="宋体"/>
          <w:bCs/>
          <w:sz w:val="24"/>
          <w:szCs w:val="24"/>
          <w:highlight w:val="none"/>
          <w:lang w:val="en-US" w:eastAsia="zh-CN"/>
        </w:rPr>
        <w:t>3.2.2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太阴人</w:t>
      </w:r>
      <w:r>
        <w:rPr>
          <w:rFonts w:hint="eastAsia" w:cs="Times New Roman"/>
          <w:sz w:val="24"/>
          <w:szCs w:val="24"/>
          <w:highlight w:val="none"/>
          <w:lang w:eastAsia="zh-CN"/>
        </w:rPr>
        <w:t>：</w:t>
      </w:r>
      <w:r>
        <w:rPr>
          <w:rFonts w:hint="eastAsia" w:ascii="Times New Roman" w:hAnsi="Times New Roman"/>
          <w:sz w:val="24"/>
          <w:szCs w:val="24"/>
        </w:rPr>
        <w:t>适合高蛋白及含钙量较多的食物，不太适合刺激性强、高脂肪及生冷食物。</w:t>
      </w:r>
    </w:p>
    <w:p w14:paraId="6130A00F">
      <w:pPr>
        <w:spacing w:line="36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3.2.3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少阳人</w:t>
      </w:r>
      <w:r>
        <w:rPr>
          <w:rFonts w:hint="eastAsia" w:cs="Times New Roman"/>
          <w:sz w:val="24"/>
          <w:szCs w:val="24"/>
          <w:highlight w:val="none"/>
          <w:lang w:eastAsia="zh-CN"/>
        </w:rPr>
        <w:t>：</w:t>
      </w:r>
      <w:r>
        <w:rPr>
          <w:rFonts w:hint="eastAsia" w:ascii="Times New Roman" w:hAnsi="Times New Roman"/>
          <w:sz w:val="24"/>
          <w:szCs w:val="24"/>
        </w:rPr>
        <w:t>适合蔬菜、海鲜类及清凉食物，不太适合刺激性强及辛热食物。</w:t>
      </w:r>
    </w:p>
    <w:p w14:paraId="0D36F280">
      <w:pPr>
        <w:spacing w:line="360" w:lineRule="auto"/>
        <w:rPr>
          <w:rStyle w:val="24"/>
          <w:rFonts w:hint="eastAsia" w:ascii="宋体" w:hAnsi="宋体" w:eastAsia="宋体" w:cs="宋体"/>
          <w:sz w:val="24"/>
          <w:szCs w:val="24"/>
        </w:rPr>
      </w:pPr>
      <w:r>
        <w:rPr>
          <w:rFonts w:hint="eastAsia" w:cs="Times New Roman"/>
          <w:sz w:val="24"/>
          <w:szCs w:val="24"/>
          <w:highlight w:val="none"/>
          <w:lang w:val="en-US" w:eastAsia="zh-CN"/>
        </w:rPr>
        <w:t>3.2.4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少阴人</w:t>
      </w:r>
      <w:r>
        <w:rPr>
          <w:rFonts w:hint="eastAsia" w:cs="Times New Roman"/>
          <w:sz w:val="24"/>
          <w:szCs w:val="24"/>
          <w:highlight w:val="none"/>
          <w:lang w:eastAsia="zh-CN"/>
        </w:rPr>
        <w:t>：</w:t>
      </w:r>
      <w:r>
        <w:rPr>
          <w:rFonts w:hint="eastAsia" w:ascii="Times New Roman" w:hAnsi="Times New Roman"/>
          <w:sz w:val="24"/>
          <w:szCs w:val="24"/>
        </w:rPr>
        <w:t>适合温热及清淡易消化食物，不太适合肥甘厚腻及生冷食物。</w:t>
      </w:r>
    </w:p>
    <w:p w14:paraId="3842CF26">
      <w:pPr>
        <w:spacing w:line="360" w:lineRule="auto"/>
        <w:rPr>
          <w:rStyle w:val="24"/>
          <w:rFonts w:hint="eastAsia" w:ascii="宋体" w:hAnsi="宋体" w:eastAsia="宋体" w:cs="宋体"/>
          <w:sz w:val="20"/>
          <w:szCs w:val="20"/>
        </w:rPr>
      </w:pPr>
      <w:bookmarkStart w:id="47" w:name="_Toc30466"/>
      <w:r>
        <w:rPr>
          <w:rStyle w:val="24"/>
          <w:rFonts w:hint="eastAsia" w:ascii="宋体" w:hAnsi="宋体" w:eastAsia="宋体" w:cs="宋体"/>
          <w:sz w:val="20"/>
          <w:szCs w:val="20"/>
        </w:rPr>
        <w:t>3.</w:t>
      </w:r>
      <w:r>
        <w:rPr>
          <w:rStyle w:val="24"/>
          <w:rFonts w:hint="eastAsia" w:ascii="宋体" w:hAnsi="宋体" w:cs="宋体"/>
          <w:sz w:val="20"/>
          <w:szCs w:val="20"/>
        </w:rPr>
        <w:t>3</w:t>
      </w:r>
      <w:r>
        <w:rPr>
          <w:rStyle w:val="24"/>
          <w:rFonts w:hint="eastAsia" w:ascii="宋体" w:hAnsi="宋体" w:eastAsia="宋体" w:cs="宋体"/>
          <w:sz w:val="20"/>
          <w:szCs w:val="20"/>
        </w:rPr>
        <w:t>心理调摄：</w:t>
      </w:r>
    </w:p>
    <w:bookmarkEnd w:id="47"/>
    <w:p w14:paraId="053C47DA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3.3.1</w:t>
      </w:r>
      <w:r>
        <w:rPr>
          <w:rFonts w:hint="eastAsia"/>
          <w:sz w:val="24"/>
          <w:szCs w:val="24"/>
        </w:rPr>
        <w:t>保持心情愉悦，避免过度忧思恼怒。</w:t>
      </w:r>
    </w:p>
    <w:p w14:paraId="7C529BF7">
      <w:pPr>
        <w:pStyle w:val="13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3.3.2</w:t>
      </w:r>
      <w:r>
        <w:rPr>
          <w:rFonts w:hint="eastAsia"/>
          <w:sz w:val="24"/>
          <w:szCs w:val="24"/>
        </w:rPr>
        <w:t>根据四象人性情特点，按象做好情志护理。</w:t>
      </w:r>
    </w:p>
    <w:p w14:paraId="014B612F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3.3.2.1</w:t>
      </w:r>
      <w:r>
        <w:rPr>
          <w:rFonts w:hint="eastAsia" w:ascii="Times New Roman" w:hAnsi="Times New Roman"/>
          <w:sz w:val="24"/>
          <w:szCs w:val="24"/>
        </w:rPr>
        <w:t>太阳人</w:t>
      </w:r>
    </w:p>
    <w:p w14:paraId="702BD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太阳人有择交心不广，有人身攻击心、窃取心、夸张心，恒有急迫之心，自尊心强，过于放纵，果断性及疏通性大的心理特点，应经常戒忌怒心和哀心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hint="eastAsia" w:ascii="Times New Roman" w:hAnsi="Times New Roman"/>
          <w:sz w:val="24"/>
          <w:szCs w:val="24"/>
        </w:rPr>
        <w:t>注意忍让，并经常平静急躁之心。</w:t>
      </w:r>
    </w:p>
    <w:p w14:paraId="38C5DA1F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3.3.2.2</w:t>
      </w:r>
      <w:r>
        <w:rPr>
          <w:rFonts w:hint="eastAsia" w:ascii="Times New Roman" w:hAnsi="Times New Roman"/>
          <w:sz w:val="24"/>
          <w:szCs w:val="24"/>
        </w:rPr>
        <w:t>太阴人</w:t>
      </w:r>
    </w:p>
    <w:p w14:paraId="53A71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太阴人有骄心、侈心，贪欲心大，恒有怯心，追求安逸，忍耐心大，喜怒不表露的心理特点，应经常戒忌乐心和喜心，应多考虑事务，并经常平静儒弱之心。</w:t>
      </w:r>
    </w:p>
    <w:p w14:paraId="12B8B84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3.3.2.3</w:t>
      </w:r>
      <w:r>
        <w:rPr>
          <w:rFonts w:hint="eastAsia" w:ascii="Times New Roman" w:hAnsi="Times New Roman"/>
          <w:sz w:val="24"/>
          <w:szCs w:val="24"/>
        </w:rPr>
        <w:t>少阳人</w:t>
      </w:r>
    </w:p>
    <w:p w14:paraId="05906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少阳人有偏私心、虚荣心大，恒有惧心，善于外交，重视外界，轻忽家庭的心理特点。应经常戒忌哀心和怒心，应多考虑居处，并经常平静惧怕之心。</w:t>
      </w:r>
    </w:p>
    <w:p w14:paraId="641B99A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3.3.2.4</w:t>
      </w:r>
      <w:r>
        <w:rPr>
          <w:rFonts w:hint="eastAsia" w:ascii="Times New Roman" w:hAnsi="Times New Roman"/>
          <w:sz w:val="24"/>
          <w:szCs w:val="24"/>
        </w:rPr>
        <w:t>少阴人</w:t>
      </w:r>
    </w:p>
    <w:p w14:paraId="59321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少阴人有偷逸心、虚荣心，掠夺心大，恒有不安定心的心理特点，应经常戒忌喜心和乐心，应积极一些，并经常平静不安定之心。</w:t>
      </w:r>
    </w:p>
    <w:p w14:paraId="72E4A086">
      <w:pPr>
        <w:pStyle w:val="2"/>
        <w:rPr>
          <w:rFonts w:hint="eastAsia"/>
        </w:rPr>
      </w:pPr>
    </w:p>
    <w:p w14:paraId="4FDE10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8EB66">
    <w:pPr>
      <w:pStyle w:val="10"/>
    </w:pPr>
    <w:r>
      <w:rPr>
        <w:sz w:val="18"/>
      </w:rPr>
      <w:pict>
        <v:shape id="PowerPlusWaterMarkObject18480" o:spid="_x0000_s2049" o:spt="136" type="#_x0000_t136" style="position:absolute;left:0pt;height:178.05pt;width:409.1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公示稿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rPr>
        <w:rFonts w:hint="eastAsia" w:ascii="黑体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29"/>
      <w:suff w:val="nothing"/>
      <w:lvlText w:val="%1.%2　"/>
      <w:lvlJc w:val="left"/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abstractNum w:abstractNumId="1">
    <w:nsid w:val="2C5917C3"/>
    <w:multiLevelType w:val="multilevel"/>
    <w:tmpl w:val="2C5917C3"/>
    <w:lvl w:ilvl="0" w:tentative="0">
      <w:start w:val="1"/>
      <w:numFmt w:val="none"/>
      <w:pStyle w:val="30"/>
      <w:lvlText w:val="%1——"/>
      <w:lvlJc w:val="left"/>
      <w:pPr>
        <w:tabs>
          <w:tab w:val="left" w:pos="710"/>
        </w:tabs>
        <w:ind w:left="710" w:hanging="426"/>
      </w:pPr>
      <w:rPr>
        <w:rFonts w:hint="eastAsia" w:ascii="宋体" w:hAnsi="Times New Roman" w:eastAsia="宋体"/>
        <w:b w:val="0"/>
        <w:i w:val="0"/>
        <w:sz w:val="21"/>
        <w:lang w:val="en-US"/>
      </w:rPr>
    </w:lvl>
    <w:lvl w:ilvl="1" w:tentative="0">
      <w:start w:val="1"/>
      <w:numFmt w:val="none"/>
      <w:lvlText w:val=""/>
      <w:lvlJc w:val="left"/>
      <w:pPr>
        <w:ind w:left="710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lvlText w:val=""/>
      <w:lvlJc w:val="left"/>
      <w:pPr>
        <w:ind w:left="710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1930"/>
        </w:tabs>
        <w:ind w:left="1743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242"/>
        </w:tabs>
        <w:ind w:left="2055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54"/>
        </w:tabs>
        <w:ind w:left="2367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866"/>
        </w:tabs>
        <w:ind w:left="2679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178"/>
        </w:tabs>
        <w:ind w:left="2991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490"/>
        </w:tabs>
        <w:ind w:left="3303" w:hanging="528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zY2MyN2ZiNDAwYjM4YzIzZTEyYmMwOTc4ZGM2YjgifQ=="/>
  </w:docVars>
  <w:rsids>
    <w:rsidRoot w:val="72447E59"/>
    <w:rsid w:val="001374DA"/>
    <w:rsid w:val="00324CB8"/>
    <w:rsid w:val="004A3553"/>
    <w:rsid w:val="00826589"/>
    <w:rsid w:val="008A02A7"/>
    <w:rsid w:val="00BC1122"/>
    <w:rsid w:val="00CE1417"/>
    <w:rsid w:val="00CF194A"/>
    <w:rsid w:val="016C2657"/>
    <w:rsid w:val="017D14E1"/>
    <w:rsid w:val="01A83C46"/>
    <w:rsid w:val="022B49C7"/>
    <w:rsid w:val="03553A2C"/>
    <w:rsid w:val="04DA4474"/>
    <w:rsid w:val="05542B45"/>
    <w:rsid w:val="056168D3"/>
    <w:rsid w:val="06A74829"/>
    <w:rsid w:val="08CE1E54"/>
    <w:rsid w:val="09A0303B"/>
    <w:rsid w:val="09E33DCA"/>
    <w:rsid w:val="0B3C71FE"/>
    <w:rsid w:val="0BB974D9"/>
    <w:rsid w:val="0C230DF6"/>
    <w:rsid w:val="0CC954FA"/>
    <w:rsid w:val="0CCD460B"/>
    <w:rsid w:val="0CD30126"/>
    <w:rsid w:val="0CD67C16"/>
    <w:rsid w:val="0D8711DE"/>
    <w:rsid w:val="0D8A3812"/>
    <w:rsid w:val="0DED5218"/>
    <w:rsid w:val="0E3C2DB2"/>
    <w:rsid w:val="0ECC7523"/>
    <w:rsid w:val="0ED308B1"/>
    <w:rsid w:val="0F563291"/>
    <w:rsid w:val="0F7D6D80"/>
    <w:rsid w:val="0FB84D7D"/>
    <w:rsid w:val="0FED59A3"/>
    <w:rsid w:val="10613C9B"/>
    <w:rsid w:val="106D0892"/>
    <w:rsid w:val="10FD4FFE"/>
    <w:rsid w:val="111E04D1"/>
    <w:rsid w:val="118F5375"/>
    <w:rsid w:val="11F823DD"/>
    <w:rsid w:val="12ED7A68"/>
    <w:rsid w:val="13363E1E"/>
    <w:rsid w:val="137E5A3B"/>
    <w:rsid w:val="13D6541C"/>
    <w:rsid w:val="1456352A"/>
    <w:rsid w:val="15EB60F2"/>
    <w:rsid w:val="16257F81"/>
    <w:rsid w:val="171C0777"/>
    <w:rsid w:val="17392D31"/>
    <w:rsid w:val="17670FC9"/>
    <w:rsid w:val="18256D1E"/>
    <w:rsid w:val="185A697D"/>
    <w:rsid w:val="18DC65B5"/>
    <w:rsid w:val="19831126"/>
    <w:rsid w:val="1A517F37"/>
    <w:rsid w:val="1A6B4094"/>
    <w:rsid w:val="1BAA2782"/>
    <w:rsid w:val="1D35169A"/>
    <w:rsid w:val="1D81111E"/>
    <w:rsid w:val="1E54292C"/>
    <w:rsid w:val="1EBB4EBE"/>
    <w:rsid w:val="1F8E1B25"/>
    <w:rsid w:val="20426FFC"/>
    <w:rsid w:val="20BA1A58"/>
    <w:rsid w:val="22837AA1"/>
    <w:rsid w:val="231228BF"/>
    <w:rsid w:val="235448E6"/>
    <w:rsid w:val="24066BDB"/>
    <w:rsid w:val="251F5A98"/>
    <w:rsid w:val="2549768F"/>
    <w:rsid w:val="26431A21"/>
    <w:rsid w:val="26516E6C"/>
    <w:rsid w:val="27D305E4"/>
    <w:rsid w:val="284321AC"/>
    <w:rsid w:val="288E5EC4"/>
    <w:rsid w:val="28A86610"/>
    <w:rsid w:val="28BE5CD7"/>
    <w:rsid w:val="28CD26D1"/>
    <w:rsid w:val="28D943FD"/>
    <w:rsid w:val="29177195"/>
    <w:rsid w:val="294206B6"/>
    <w:rsid w:val="294837F2"/>
    <w:rsid w:val="298B44EB"/>
    <w:rsid w:val="2ABD5A19"/>
    <w:rsid w:val="2AFB4FC0"/>
    <w:rsid w:val="2B181B0B"/>
    <w:rsid w:val="2B85488A"/>
    <w:rsid w:val="2BF928EA"/>
    <w:rsid w:val="2D990AC0"/>
    <w:rsid w:val="2DE7182C"/>
    <w:rsid w:val="300C7328"/>
    <w:rsid w:val="30254242"/>
    <w:rsid w:val="30275F10"/>
    <w:rsid w:val="303F594F"/>
    <w:rsid w:val="30BA044C"/>
    <w:rsid w:val="32040106"/>
    <w:rsid w:val="32C5750C"/>
    <w:rsid w:val="3310712F"/>
    <w:rsid w:val="334A33AD"/>
    <w:rsid w:val="336720BC"/>
    <w:rsid w:val="337C3265"/>
    <w:rsid w:val="33945FB2"/>
    <w:rsid w:val="33E75850"/>
    <w:rsid w:val="34790D04"/>
    <w:rsid w:val="353115DE"/>
    <w:rsid w:val="356E363C"/>
    <w:rsid w:val="37F214F9"/>
    <w:rsid w:val="3825217B"/>
    <w:rsid w:val="3A331955"/>
    <w:rsid w:val="3B091033"/>
    <w:rsid w:val="3B114790"/>
    <w:rsid w:val="3B411D50"/>
    <w:rsid w:val="3B64270E"/>
    <w:rsid w:val="3B7E0917"/>
    <w:rsid w:val="3BE227C5"/>
    <w:rsid w:val="3C2E61B3"/>
    <w:rsid w:val="3C9B4E25"/>
    <w:rsid w:val="3DB810C5"/>
    <w:rsid w:val="3E5527E2"/>
    <w:rsid w:val="3E73290A"/>
    <w:rsid w:val="3EA572C5"/>
    <w:rsid w:val="3EAA499C"/>
    <w:rsid w:val="3EFC4A0B"/>
    <w:rsid w:val="3FB83028"/>
    <w:rsid w:val="405C7E57"/>
    <w:rsid w:val="42E57C88"/>
    <w:rsid w:val="430B346F"/>
    <w:rsid w:val="446933E7"/>
    <w:rsid w:val="449776B0"/>
    <w:rsid w:val="44ED5830"/>
    <w:rsid w:val="44F20D8A"/>
    <w:rsid w:val="45A656D1"/>
    <w:rsid w:val="468A0B4E"/>
    <w:rsid w:val="4717211A"/>
    <w:rsid w:val="47A04ACD"/>
    <w:rsid w:val="47AA4DAE"/>
    <w:rsid w:val="47B552AC"/>
    <w:rsid w:val="48190574"/>
    <w:rsid w:val="4833173E"/>
    <w:rsid w:val="48751C31"/>
    <w:rsid w:val="48E21116"/>
    <w:rsid w:val="49634005"/>
    <w:rsid w:val="4AD43F12"/>
    <w:rsid w:val="4AF02334"/>
    <w:rsid w:val="4C194E4E"/>
    <w:rsid w:val="4C9E35A6"/>
    <w:rsid w:val="4CA62A9F"/>
    <w:rsid w:val="4CAF7561"/>
    <w:rsid w:val="4CCF550D"/>
    <w:rsid w:val="4D84279B"/>
    <w:rsid w:val="4F545CC2"/>
    <w:rsid w:val="4F9C3DCC"/>
    <w:rsid w:val="4FAD2524"/>
    <w:rsid w:val="50160B9C"/>
    <w:rsid w:val="517E7E7A"/>
    <w:rsid w:val="53A771E4"/>
    <w:rsid w:val="542B5395"/>
    <w:rsid w:val="54A379AB"/>
    <w:rsid w:val="55AB4F32"/>
    <w:rsid w:val="55D605F9"/>
    <w:rsid w:val="562C010C"/>
    <w:rsid w:val="56530F5D"/>
    <w:rsid w:val="57127095"/>
    <w:rsid w:val="571D2429"/>
    <w:rsid w:val="579F7750"/>
    <w:rsid w:val="57DF5574"/>
    <w:rsid w:val="58893207"/>
    <w:rsid w:val="58C779E0"/>
    <w:rsid w:val="58D00F8B"/>
    <w:rsid w:val="59142C25"/>
    <w:rsid w:val="5A08707B"/>
    <w:rsid w:val="5AC82581"/>
    <w:rsid w:val="5AD178FF"/>
    <w:rsid w:val="5B5163B3"/>
    <w:rsid w:val="5B866118"/>
    <w:rsid w:val="5BA26C0E"/>
    <w:rsid w:val="5C276D2F"/>
    <w:rsid w:val="5C8008D1"/>
    <w:rsid w:val="5C8F6A67"/>
    <w:rsid w:val="5CDB5149"/>
    <w:rsid w:val="5DF70D68"/>
    <w:rsid w:val="5E7250D0"/>
    <w:rsid w:val="5ED52E57"/>
    <w:rsid w:val="60B00F64"/>
    <w:rsid w:val="60C018E5"/>
    <w:rsid w:val="61103ECC"/>
    <w:rsid w:val="6118702B"/>
    <w:rsid w:val="61774699"/>
    <w:rsid w:val="623B7990"/>
    <w:rsid w:val="625B1E0B"/>
    <w:rsid w:val="63E85D4A"/>
    <w:rsid w:val="64076113"/>
    <w:rsid w:val="645B2050"/>
    <w:rsid w:val="64B623BF"/>
    <w:rsid w:val="653B59DE"/>
    <w:rsid w:val="65527816"/>
    <w:rsid w:val="65A74E21"/>
    <w:rsid w:val="65AA3BC7"/>
    <w:rsid w:val="65AC2A14"/>
    <w:rsid w:val="65C14135"/>
    <w:rsid w:val="65E65A72"/>
    <w:rsid w:val="668D04BB"/>
    <w:rsid w:val="676F46D2"/>
    <w:rsid w:val="687436E1"/>
    <w:rsid w:val="68D4417F"/>
    <w:rsid w:val="69177F87"/>
    <w:rsid w:val="696574CD"/>
    <w:rsid w:val="69824510"/>
    <w:rsid w:val="69BA1345"/>
    <w:rsid w:val="6A713DC7"/>
    <w:rsid w:val="6AB249D4"/>
    <w:rsid w:val="6AC45F78"/>
    <w:rsid w:val="6C0407D9"/>
    <w:rsid w:val="6C515AE7"/>
    <w:rsid w:val="6C5309A3"/>
    <w:rsid w:val="6CB467A2"/>
    <w:rsid w:val="6D416038"/>
    <w:rsid w:val="6D6B0BCD"/>
    <w:rsid w:val="6DDB623B"/>
    <w:rsid w:val="70B15506"/>
    <w:rsid w:val="70B34FC2"/>
    <w:rsid w:val="72447E59"/>
    <w:rsid w:val="7294672D"/>
    <w:rsid w:val="72EE0533"/>
    <w:rsid w:val="736A5E0C"/>
    <w:rsid w:val="736B19CA"/>
    <w:rsid w:val="73D84F0C"/>
    <w:rsid w:val="743E1047"/>
    <w:rsid w:val="74603971"/>
    <w:rsid w:val="74616FE7"/>
    <w:rsid w:val="751A116C"/>
    <w:rsid w:val="75245FC8"/>
    <w:rsid w:val="75894543"/>
    <w:rsid w:val="75C5557C"/>
    <w:rsid w:val="7657460F"/>
    <w:rsid w:val="77A17922"/>
    <w:rsid w:val="79962C81"/>
    <w:rsid w:val="79DC7338"/>
    <w:rsid w:val="79E9735F"/>
    <w:rsid w:val="7A355A41"/>
    <w:rsid w:val="7BD65BC5"/>
    <w:rsid w:val="7BDF310F"/>
    <w:rsid w:val="7DE97C3E"/>
    <w:rsid w:val="7DEE684D"/>
    <w:rsid w:val="7E307C52"/>
    <w:rsid w:val="7F111831"/>
    <w:rsid w:val="7FA9059D"/>
    <w:rsid w:val="9B970037"/>
    <w:rsid w:val="BDFC6446"/>
    <w:rsid w:val="D6FFCA59"/>
    <w:rsid w:val="F7DDC128"/>
    <w:rsid w:val="F7ED15D3"/>
    <w:rsid w:val="FCB64F0F"/>
    <w:rsid w:val="FFD39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Arial Unicode MS"/>
      <w:kern w:val="2"/>
      <w:sz w:val="21"/>
      <w:szCs w:val="24"/>
      <w:lang w:val="en-US" w:eastAsia="zh-CN" w:bidi="bo-CN"/>
    </w:rPr>
  </w:style>
  <w:style w:type="paragraph" w:styleId="4">
    <w:name w:val="heading 1"/>
    <w:basedOn w:val="1"/>
    <w:next w:val="1"/>
    <w:qFormat/>
    <w:uiPriority w:val="0"/>
    <w:pPr>
      <w:keepNext/>
      <w:keepLines/>
      <w:suppressAutoHyphens/>
      <w:spacing w:before="340" w:after="330" w:line="576" w:lineRule="auto"/>
      <w:outlineLvl w:val="0"/>
    </w:pPr>
    <w:rPr>
      <w:rFonts w:cs="Times New Roman"/>
      <w:b/>
      <w:kern w:val="44"/>
      <w:sz w:val="24"/>
      <w:lang w:bidi="ar-SA"/>
    </w:rPr>
  </w:style>
  <w:style w:type="paragraph" w:styleId="5">
    <w:name w:val="heading 2"/>
    <w:basedOn w:val="1"/>
    <w:next w:val="1"/>
    <w:link w:val="24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caption"/>
    <w:basedOn w:val="1"/>
    <w:next w:val="1"/>
    <w:qFormat/>
    <w:uiPriority w:val="0"/>
    <w:pPr>
      <w:ind w:firstLine="3584"/>
    </w:pPr>
  </w:style>
  <w:style w:type="paragraph" w:styleId="7">
    <w:name w:val="annotation text"/>
    <w:basedOn w:val="1"/>
    <w:link w:val="22"/>
    <w:qFormat/>
    <w:uiPriority w:val="0"/>
    <w:pPr>
      <w:jc w:val="left"/>
    </w:p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Body Text 2"/>
    <w:basedOn w:val="1"/>
    <w:qFormat/>
    <w:uiPriority w:val="99"/>
    <w:pPr>
      <w:spacing w:after="120" w:line="480" w:lineRule="auto"/>
    </w:pPr>
    <w:rPr>
      <w:rFonts w:ascii="Times New Roman" w:hAnsi="Times New Roman" w:cs="Times New Roman"/>
    </w:rPr>
  </w:style>
  <w:style w:type="paragraph" w:styleId="1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lang w:bidi="ar-SA"/>
    </w:rPr>
  </w:style>
  <w:style w:type="paragraph" w:styleId="15">
    <w:name w:val="annotation subject"/>
    <w:basedOn w:val="7"/>
    <w:next w:val="7"/>
    <w:link w:val="23"/>
    <w:qFormat/>
    <w:uiPriority w:val="0"/>
    <w:rPr>
      <w:b/>
      <w:bCs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annotation reference"/>
    <w:basedOn w:val="18"/>
    <w:qFormat/>
    <w:uiPriority w:val="0"/>
    <w:rPr>
      <w:sz w:val="21"/>
      <w:szCs w:val="21"/>
    </w:rPr>
  </w:style>
  <w:style w:type="paragraph" w:customStyle="1" w:styleId="21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2">
    <w:name w:val="批注文字 字符"/>
    <w:basedOn w:val="18"/>
    <w:link w:val="7"/>
    <w:qFormat/>
    <w:uiPriority w:val="0"/>
    <w:rPr>
      <w:rFonts w:cs="Arial Unicode MS"/>
      <w:kern w:val="2"/>
      <w:sz w:val="21"/>
      <w:szCs w:val="24"/>
      <w:lang w:bidi="bo-CN"/>
    </w:rPr>
  </w:style>
  <w:style w:type="character" w:customStyle="1" w:styleId="23">
    <w:name w:val="批注主题 字符"/>
    <w:basedOn w:val="22"/>
    <w:link w:val="15"/>
    <w:qFormat/>
    <w:uiPriority w:val="0"/>
    <w:rPr>
      <w:rFonts w:cs="Arial Unicode MS"/>
      <w:b/>
      <w:bCs/>
      <w:kern w:val="2"/>
      <w:sz w:val="21"/>
      <w:szCs w:val="24"/>
      <w:lang w:bidi="bo-CN"/>
    </w:rPr>
  </w:style>
  <w:style w:type="character" w:customStyle="1" w:styleId="24">
    <w:name w:val="标题 2 字符"/>
    <w:link w:val="5"/>
    <w:qFormat/>
    <w:uiPriority w:val="0"/>
    <w:rPr>
      <w:rFonts w:ascii="Arial" w:hAnsi="Arial" w:eastAsia="黑体"/>
      <w:b/>
      <w:sz w:val="32"/>
    </w:rPr>
  </w:style>
  <w:style w:type="paragraph" w:styleId="25">
    <w:name w:val="List Paragraph"/>
    <w:basedOn w:val="1"/>
    <w:qFormat/>
    <w:uiPriority w:val="99"/>
    <w:pPr>
      <w:ind w:firstLine="420"/>
    </w:pPr>
  </w:style>
  <w:style w:type="paragraph" w:customStyle="1" w:styleId="26">
    <w:name w:val="章标题"/>
    <w:next w:val="27"/>
    <w:qFormat/>
    <w:uiPriority w:val="99"/>
    <w:p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7">
    <w:name w:val="段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8">
    <w:name w:val="一级无"/>
    <w:basedOn w:val="29"/>
    <w:qFormat/>
    <w:uiPriority w:val="99"/>
    <w:pPr>
      <w:spacing w:beforeLines="0" w:afterLines="0"/>
    </w:pPr>
    <w:rPr>
      <w:rFonts w:ascii="宋体" w:eastAsia="宋体"/>
    </w:rPr>
  </w:style>
  <w:style w:type="paragraph" w:customStyle="1" w:styleId="29">
    <w:name w:val="一级条标题"/>
    <w:next w:val="27"/>
    <w:qFormat/>
    <w:uiPriority w:val="99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30">
    <w:name w:val="标准文件_一级项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6199</Words>
  <Characters>7142</Characters>
  <Lines>181</Lines>
  <Paragraphs>174</Paragraphs>
  <TotalTime>0</TotalTime>
  <ScaleCrop>false</ScaleCrop>
  <LinksUpToDate>false</LinksUpToDate>
  <CharactersWithSpaces>7342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2026-03-10T06:50:00Z</dcterms:created>
  <dc:creator>丢丢</dc:creator>
  <cp:lastModifiedBy>丢丢</cp:lastModifiedBy>
  <cp:lastPrinted>2026-03-24T00:14:00Z</cp:lastPrinted>
  <dcterms:modified xsi:type="dcterms:W3CDTF">2026-04-28T01:20:48Z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0AE36509D1714A89AF896367B204A699_13</vt:lpwstr>
  </property>
  <property fmtid="{D5CDD505-2E9C-101B-9397-08002B2CF9AE}" pid="4" name="KSOTemplateDocerSaveRecord">
    <vt:lpwstr>eyJoZGlkIjoiZTgyZTNiOTczMmI4YjRhMDQ5ODQzOWQ1NDMxYjJmYTkiLCJ1c2VySWQiOiI1MTUwOTU1NTEifQ==</vt:lpwstr>
  </property>
</Properties>
</file>