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DBE40">
      <w:pPr>
        <w:jc w:val="left"/>
        <w:rPr>
          <w:rFonts w:hint="eastAsia" w:asciiTheme="minorEastAsia" w:hAnsiTheme="minorEastAsia" w:eastAsiaTheme="minorEastAsia" w:cstheme="minorEastAsia"/>
          <w:b/>
          <w:bCs/>
          <w:szCs w:val="21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  <w:bookmarkStart w:id="0" w:name="_Toc369597864"/>
      <w:r>
        <w:rPr>
          <w:rFonts w:hint="eastAsia" w:asciiTheme="minorEastAsia" w:hAnsiTheme="minorEastAsia" w:eastAsiaTheme="minorEastAsia" w:cstheme="minorEastAsia"/>
          <w:b/>
          <w:bCs/>
          <w:szCs w:val="21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 xml:space="preserve">ICS   11.020 </w:t>
      </w:r>
    </w:p>
    <w:p w14:paraId="670C2E50">
      <w:pPr>
        <w:jc w:val="left"/>
        <w:rPr>
          <w:rFonts w:hint="eastAsia" w:asciiTheme="minorEastAsia" w:hAnsiTheme="minorEastAsia" w:eastAsiaTheme="minorEastAsia" w:cstheme="minorEastAsia"/>
          <w:b/>
          <w:bCs/>
          <w:szCs w:val="21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CCS  C 05</w:t>
      </w:r>
    </w:p>
    <w:p w14:paraId="2A63D5AE">
      <w:pPr>
        <w:ind w:firstLine="2730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  <w:r>
        <w:rPr>
          <w:rFonts w:hint="eastAsia"/>
          <w:position w:val="-13"/>
        </w:rPr>
        <w:t xml:space="preserve">                                      </w:t>
      </w:r>
      <w:r>
        <w:rPr>
          <w:position w:val="-13"/>
        </w:rPr>
        <w:drawing>
          <wp:inline distT="0" distB="0" distL="0" distR="0">
            <wp:extent cx="414655" cy="429895"/>
            <wp:effectExtent l="0" t="0" r="4445" b="8255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4655" cy="430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776C7">
      <w:p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8"/>
          <w:szCs w:val="48"/>
        </w:rPr>
        <w:t>团       体       标         准</w:t>
      </w:r>
    </w:p>
    <w:p w14:paraId="5998036A">
      <w:pPr>
        <w:ind w:firstLine="5060" w:firstLineChars="18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  <w:t>T/XXX XXXX—XXXX</w:t>
      </w:r>
    </w:p>
    <w:p w14:paraId="5FA9167B">
      <w:pPr>
        <w:spacing w:line="246" w:lineRule="auto"/>
        <w:rPr>
          <w:rFonts w:ascii="Arial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-502920</wp:posOffset>
                </wp:positionH>
                <wp:positionV relativeFrom="paragraph">
                  <wp:posOffset>86360</wp:posOffset>
                </wp:positionV>
                <wp:extent cx="6120130" cy="9525"/>
                <wp:effectExtent l="0" t="0" r="0" b="0"/>
                <wp:wrapNone/>
                <wp:docPr id="4" name="任意多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637" h="15">
                              <a:moveTo>
                                <a:pt x="0" y="7"/>
                              </a:moveTo>
                              <a:lnTo>
                                <a:pt x="9637" y="7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39.6pt;margin-top:6.8pt;height:0.75pt;width:481.9pt;z-index:251660288;mso-width-relative:page;mso-height-relative:page;" filled="f" stroked="t" coordsize="9637,15" o:gfxdata="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P3Z6L2QAAAAkBAAAPAAAAAAAAAAEAIAAAACIAAABkcnMvZG93&#10;bnJldi54bWxQSwECFAAUAAAACACHTuJAB6+rYjgCAACtBAAADgAAAAAAAAABACAAAAAoAQAAZHJz&#10;L2Uyb0RvYy54bWxQSwUGAAAAAAYABgBZAQAA0gUAAAAA&#10;" path="m0,7l9637,7e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582F4198">
      <w:pPr>
        <w:ind w:firstLine="5060" w:firstLineChars="18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2FA479DB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4298E869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0EECE011">
      <w:pPr>
        <w:jc w:val="center"/>
        <w:rPr>
          <w:rFonts w:hint="eastAsia"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  <w:lang w:eastAsia="zh-CN"/>
        </w:rPr>
        <w:t>中风病</w:t>
      </w:r>
      <w:r>
        <w:rPr>
          <w:rFonts w:hint="eastAsia" w:ascii="黑体" w:hAnsi="黑体" w:eastAsia="黑体" w:cs="黑体"/>
          <w:sz w:val="52"/>
          <w:szCs w:val="52"/>
        </w:rPr>
        <w:t>（</w:t>
      </w:r>
      <w:r>
        <w:rPr>
          <w:rFonts w:hint="eastAsia" w:ascii="黑体" w:hAnsi="黑体" w:eastAsia="黑体" w:cs="黑体"/>
          <w:sz w:val="52"/>
          <w:szCs w:val="52"/>
          <w:lang w:eastAsia="zh-CN"/>
        </w:rPr>
        <w:t>缺血性脑卒中</w:t>
      </w:r>
      <w:r>
        <w:rPr>
          <w:rFonts w:hint="eastAsia" w:ascii="黑体" w:hAnsi="黑体" w:eastAsia="黑体" w:cs="黑体"/>
          <w:sz w:val="52"/>
          <w:szCs w:val="52"/>
        </w:rPr>
        <w:t>）</w:t>
      </w:r>
    </w:p>
    <w:p w14:paraId="1A12A63B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  <w:r>
        <w:rPr>
          <w:rFonts w:hint="eastAsia" w:ascii="黑体" w:hAnsi="黑体" w:eastAsia="黑体" w:cs="黑体"/>
          <w:sz w:val="52"/>
          <w:szCs w:val="52"/>
          <w:lang w:eastAsia="zh-CN"/>
        </w:rPr>
        <w:t>朝医</w:t>
      </w:r>
      <w:r>
        <w:rPr>
          <w:rFonts w:hint="eastAsia" w:ascii="黑体" w:hAnsi="黑体" w:eastAsia="黑体" w:cs="黑体"/>
          <w:sz w:val="52"/>
          <w:szCs w:val="52"/>
        </w:rPr>
        <w:t>诊疗方案</w:t>
      </w:r>
    </w:p>
    <w:p w14:paraId="6D352A1A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75F6ED6D"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2"/>
          <w:lang w:val="en-US" w:eastAsia="zh-CN"/>
        </w:rPr>
        <w:t xml:space="preserve">Apoplexy (Ischemic Stroke)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2"/>
        </w:rPr>
        <w:t xml:space="preserve"> Traditional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2"/>
          <w:lang w:val="en-US" w:eastAsia="zh-CN"/>
        </w:rPr>
        <w:t>Chao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2"/>
        </w:rPr>
        <w:t xml:space="preserve"> Medicine Treatment Protocol</w:t>
      </w:r>
    </w:p>
    <w:p w14:paraId="003D7D25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31A71CDE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45CF18CD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  <w:r>
        <w:rPr>
          <w:rFonts w:hint="eastAsia" w:asciiTheme="minorEastAsia" w:hAnsiTheme="minorEastAsia" w:eastAsiaTheme="minorEastAsia" w:cstheme="minorEastAsia"/>
          <w:sz w:val="28"/>
          <w:szCs w:val="22"/>
        </w:rPr>
        <w:t>（送审稿）</w:t>
      </w:r>
    </w:p>
    <w:p w14:paraId="50D59870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11773784">
      <w:p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-588645</wp:posOffset>
                </wp:positionH>
                <wp:positionV relativeFrom="paragraph">
                  <wp:posOffset>339725</wp:posOffset>
                </wp:positionV>
                <wp:extent cx="6120130" cy="9525"/>
                <wp:effectExtent l="0" t="0" r="0" b="0"/>
                <wp:wrapNone/>
                <wp:docPr id="5" name="任意多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637" h="15">
                              <a:moveTo>
                                <a:pt x="0" y="7"/>
                              </a:moveTo>
                              <a:lnTo>
                                <a:pt x="9637" y="7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46.35pt;margin-top:26.75pt;height:0.75pt;width:481.9pt;z-index:251661312;mso-width-relative:page;mso-height-relative:page;" filled="f" stroked="t" coordsize="9637,15" o:gfxdata="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AJRfK2QAAAAkBAAAPAAAAAAAAAAEAIAAAACIAAABkcnMvZG93&#10;bnJldi54bWxQSwECFAAUAAAACACHTuJAwA+LvDgCAACtBAAADgAAAAAAAAABACAAAAAoAQAAZHJz&#10;L2Uyb0RvYy54bWxQSwUGAAAAAAYABgBZAQAA0gUAAAAA&#10;" path="m0,7l9637,7e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  <w:t>XXXX - XX - XX 发布            XXXX - XX - XX 实施</w:t>
      </w:r>
    </w:p>
    <w:p w14:paraId="59191AED">
      <w:pPr>
        <w:spacing w:line="254" w:lineRule="auto"/>
        <w:rPr>
          <w:rFonts w:ascii="Arial"/>
        </w:rPr>
      </w:pPr>
    </w:p>
    <w:p w14:paraId="041E2FC6">
      <w:pPr>
        <w:ind w:firstLine="3654" w:firstLineChars="130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2F5FDEB7">
      <w:pPr>
        <w:ind w:firstLine="1968" w:firstLineChars="700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2"/>
        </w:rPr>
        <w:t>中国民族医药学会    发 布</w:t>
      </w:r>
    </w:p>
    <w:p w14:paraId="45FAFB4C">
      <w:p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1D9825BD">
      <w:p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708BD22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sdt>
      <w:sdtPr>
        <w:rPr>
          <w:rFonts w:ascii="宋体" w:hAnsi="宋体"/>
        </w:rPr>
        <w:id w:val="147452161"/>
        <w15:color w:val="DBDBDB"/>
        <w:docPartObj>
          <w:docPartGallery w:val="Table of Contents"/>
          <w:docPartUnique/>
        </w:docPartObj>
      </w:sdtPr>
      <w:sdtEndPr>
        <w:rPr>
          <w:rFonts w:hint="eastAsia" w:asciiTheme="minorEastAsia" w:hAnsiTheme="minorEastAsia" w:eastAsiaTheme="minorEastAsia" w:cstheme="minorEastAsia"/>
          <w:bCs/>
          <w:szCs w:val="22"/>
        </w:rPr>
      </w:sdtEndPr>
      <w:sdtContent>
        <w:p w14:paraId="5A43107F">
          <w:pPr>
            <w:jc w:val="center"/>
          </w:pPr>
          <w:r>
            <w:rPr>
              <w:rFonts w:ascii="宋体" w:hAnsi="宋体"/>
            </w:rPr>
            <w:t>目录</w:t>
          </w:r>
        </w:p>
        <w:p w14:paraId="6DD8B1D4">
          <w:pPr>
            <w:pStyle w:val="11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/>
              <w:bCs/>
              <w:sz w:val="28"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/>
              <w:bCs/>
              <w:sz w:val="28"/>
              <w:szCs w:val="22"/>
            </w:rPr>
            <w:instrText xml:space="preserve">TOC \o "1-3" \h \u </w:instrText>
          </w:r>
          <w:r>
            <w:rPr>
              <w:rFonts w:hint="eastAsia" w:asciiTheme="minorEastAsia" w:hAnsiTheme="minorEastAsia" w:eastAsiaTheme="minorEastAsia" w:cstheme="minorEastAsia"/>
              <w:b/>
              <w:bCs/>
              <w:sz w:val="28"/>
              <w:szCs w:val="22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_Toc8775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/>
            </w:rPr>
            <w:t>前 言</w:t>
          </w:r>
          <w:r>
            <w:tab/>
          </w:r>
          <w:r>
            <w:fldChar w:fldCharType="begin"/>
          </w:r>
          <w:r>
            <w:instrText xml:space="preserve"> PAGEREF _Toc8775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64D46118">
          <w:pPr>
            <w:pStyle w:val="11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_Toc1986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/>
            </w:rPr>
            <w:t>引 言</w:t>
          </w:r>
          <w:r>
            <w:tab/>
          </w:r>
          <w:r>
            <w:fldChar w:fldCharType="begin"/>
          </w:r>
          <w:r>
            <w:instrText xml:space="preserve"> PAGEREF _Toc1986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5D027CB8">
          <w:pPr>
            <w:pStyle w:val="11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_Toc6381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Cs w:val="36"/>
              <w:lang w:eastAsia="zh-CN"/>
            </w:rPr>
            <w:t>中风病</w:t>
          </w:r>
          <w:r>
            <w:rPr>
              <w:rFonts w:hint="eastAsia" w:asciiTheme="majorEastAsia" w:hAnsiTheme="majorEastAsia" w:eastAsiaTheme="majorEastAsia" w:cstheme="majorEastAsia"/>
              <w:szCs w:val="36"/>
            </w:rPr>
            <w:t>（</w:t>
          </w:r>
          <w:r>
            <w:rPr>
              <w:rFonts w:hint="eastAsia" w:asciiTheme="majorEastAsia" w:hAnsiTheme="majorEastAsia" w:eastAsiaTheme="majorEastAsia" w:cstheme="majorEastAsia"/>
              <w:szCs w:val="36"/>
              <w:lang w:eastAsia="zh-CN"/>
            </w:rPr>
            <w:t>缺血性脑卒中</w:t>
          </w:r>
          <w:r>
            <w:rPr>
              <w:rFonts w:hint="eastAsia" w:asciiTheme="majorEastAsia" w:hAnsiTheme="majorEastAsia" w:eastAsiaTheme="majorEastAsia" w:cstheme="majorEastAsia"/>
              <w:szCs w:val="36"/>
            </w:rPr>
            <w:t>）</w:t>
          </w:r>
          <w:r>
            <w:rPr>
              <w:rFonts w:hint="eastAsia" w:asciiTheme="majorEastAsia" w:hAnsiTheme="majorEastAsia" w:eastAsiaTheme="majorEastAsia" w:cstheme="majorEastAsia"/>
              <w:szCs w:val="36"/>
              <w:lang w:eastAsia="zh-CN"/>
            </w:rPr>
            <w:t>朝</w:t>
          </w:r>
          <w:r>
            <w:rPr>
              <w:rFonts w:hint="eastAsia" w:asciiTheme="majorEastAsia" w:hAnsiTheme="majorEastAsia" w:eastAsiaTheme="majorEastAsia" w:cstheme="majorEastAsia"/>
              <w:szCs w:val="36"/>
            </w:rPr>
            <w:t>医诊疗方案</w:t>
          </w:r>
          <w:r>
            <w:tab/>
          </w:r>
          <w:r>
            <w:fldChar w:fldCharType="begin"/>
          </w:r>
          <w:r>
            <w:instrText xml:space="preserve"> PAGEREF _Toc6381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1B9EBE8E">
          <w:pPr>
            <w:pStyle w:val="11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_Toc22283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/>
            </w:rPr>
            <w:t xml:space="preserve">1 </w:t>
          </w:r>
          <w:r>
            <w:t xml:space="preserve"> 诊断</w:t>
          </w:r>
          <w:r>
            <w:tab/>
          </w:r>
          <w:r>
            <w:fldChar w:fldCharType="begin"/>
          </w:r>
          <w:r>
            <w:instrText xml:space="preserve"> PAGEREF _Toc22283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22FC5AE0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_Toc25731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="宋体" w:hAnsi="宋体" w:eastAsia="宋体" w:cs="宋体"/>
            </w:rPr>
            <w:t>1.1 疾病诊断</w:t>
          </w:r>
          <w:r>
            <w:tab/>
          </w:r>
          <w:r>
            <w:fldChar w:fldCharType="begin"/>
          </w:r>
          <w:r>
            <w:instrText xml:space="preserve"> PAGEREF _Toc25731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2CB914F8">
          <w:pPr>
            <w:pStyle w:val="8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_Toc20118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szCs w:val="21"/>
            </w:rPr>
            <w:t xml:space="preserve">1.1.1 </w:t>
          </w:r>
          <w:r>
            <w:rPr>
              <w:rFonts w:hint="eastAsia"/>
              <w:szCs w:val="21"/>
              <w:lang w:eastAsia="zh-CN"/>
            </w:rPr>
            <w:t>朝</w:t>
          </w:r>
          <w:r>
            <w:rPr>
              <w:szCs w:val="21"/>
            </w:rPr>
            <w:t>医诊断标准</w:t>
          </w:r>
          <w:r>
            <w:tab/>
          </w:r>
          <w:r>
            <w:fldChar w:fldCharType="begin"/>
          </w:r>
          <w:r>
            <w:instrText xml:space="preserve"> PAGEREF _Toc20118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57991841">
          <w:pPr>
            <w:pStyle w:val="8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_Toc23324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szCs w:val="21"/>
            </w:rPr>
            <w:t>1.1.2 西医诊断标准</w:t>
          </w:r>
          <w:r>
            <w:tab/>
          </w:r>
          <w:r>
            <w:fldChar w:fldCharType="begin"/>
          </w:r>
          <w:r>
            <w:instrText xml:space="preserve"> PAGEREF _Toc23324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0EB55758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_Toc3770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</w:rPr>
            <w:t>1.2</w:t>
          </w:r>
          <w:r>
            <w:rPr>
              <w:rFonts w:hint="eastAsia" w:asciiTheme="minorEastAsia" w:hAnsiTheme="minorEastAsia" w:eastAsiaTheme="minorEastAsia" w:cstheme="minorEastAsia"/>
              <w:lang w:eastAsia="zh-CN"/>
            </w:rPr>
            <w:t>证候诊断</w:t>
          </w:r>
          <w:r>
            <w:tab/>
          </w:r>
          <w:r>
            <w:fldChar w:fldCharType="begin"/>
          </w:r>
          <w:r>
            <w:instrText xml:space="preserve"> PAGEREF _Toc3770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35D68830">
          <w:pPr>
            <w:pStyle w:val="8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_Toc31741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szCs w:val="21"/>
            </w:rPr>
            <w:t xml:space="preserve">1.2.1 </w:t>
          </w:r>
          <w:r>
            <w:rPr>
              <w:rFonts w:hint="eastAsia" w:ascii="Times New Roman" w:hAnsi="Times New Roman" w:cs="Times New Roman"/>
              <w:szCs w:val="21"/>
              <w:highlight w:val="none"/>
              <w:lang w:val="zh-CN"/>
            </w:rPr>
            <w:t>痰热内闭证</w:t>
          </w:r>
          <w:r>
            <w:tab/>
          </w:r>
          <w:r>
            <w:fldChar w:fldCharType="begin"/>
          </w:r>
          <w:r>
            <w:instrText xml:space="preserve"> PAGEREF _Toc31741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19F19693">
          <w:pPr>
            <w:pStyle w:val="8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_Toc8400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szCs w:val="21"/>
            </w:rPr>
            <w:t xml:space="preserve">1.2.2 </w:t>
          </w:r>
          <w:r>
            <w:rPr>
              <w:rFonts w:hint="eastAsia"/>
              <w:szCs w:val="21"/>
              <w:lang w:val="zh-CN"/>
            </w:rPr>
            <w:t>风痰瘀阻证</w:t>
          </w:r>
          <w:r>
            <w:tab/>
          </w:r>
          <w:r>
            <w:fldChar w:fldCharType="begin"/>
          </w:r>
          <w:r>
            <w:instrText xml:space="preserve"> PAGEREF _Toc8400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3F91B465">
          <w:pPr>
            <w:pStyle w:val="8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_Toc7606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/>
              <w:szCs w:val="21"/>
              <w:lang w:val="en-US" w:eastAsia="zh-CN"/>
            </w:rPr>
            <w:t>1</w:t>
          </w:r>
          <w:r>
            <w:rPr>
              <w:szCs w:val="21"/>
            </w:rPr>
            <w:t>.2.</w:t>
          </w:r>
          <w:r>
            <w:rPr>
              <w:rFonts w:hint="eastAsia"/>
              <w:szCs w:val="21"/>
              <w:lang w:val="en-US" w:eastAsia="zh-CN"/>
            </w:rPr>
            <w:t>3</w:t>
          </w:r>
          <w:r>
            <w:rPr>
              <w:szCs w:val="21"/>
            </w:rPr>
            <w:t xml:space="preserve"> </w:t>
          </w:r>
          <w:r>
            <w:rPr>
              <w:rFonts w:hint="eastAsia"/>
              <w:szCs w:val="21"/>
            </w:rPr>
            <w:t>风火上扰</w:t>
          </w:r>
          <w:r>
            <w:rPr>
              <w:rFonts w:hint="eastAsia"/>
              <w:szCs w:val="21"/>
              <w:lang w:val="zh-CN"/>
            </w:rPr>
            <w:t>证</w:t>
          </w:r>
          <w:r>
            <w:tab/>
          </w:r>
          <w:r>
            <w:fldChar w:fldCharType="begin"/>
          </w:r>
          <w:r>
            <w:instrText xml:space="preserve"> PAGEREF _Toc7606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65C66220">
          <w:pPr>
            <w:pStyle w:val="8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_Toc4434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/>
              <w:szCs w:val="21"/>
              <w:lang w:val="en-US" w:eastAsia="zh-CN"/>
            </w:rPr>
            <w:t xml:space="preserve">1.2.4 </w:t>
          </w:r>
          <w:r>
            <w:rPr>
              <w:rFonts w:hint="eastAsia"/>
              <w:szCs w:val="21"/>
              <w:lang w:val="zh-CN" w:eastAsia="zh-CN"/>
            </w:rPr>
            <w:t>气虚血瘀证</w:t>
          </w:r>
          <w:r>
            <w:tab/>
          </w:r>
          <w:r>
            <w:fldChar w:fldCharType="begin"/>
          </w:r>
          <w:r>
            <w:instrText xml:space="preserve"> PAGEREF _Toc4434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695E7581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_Toc12867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</w:rPr>
            <w:t>1.</w:t>
          </w:r>
          <w:r>
            <w:rPr>
              <w:rFonts w:hint="eastAsia" w:asciiTheme="minorEastAsia" w:hAnsiTheme="minorEastAsia" w:eastAsiaTheme="minorEastAsia" w:cstheme="minorEastAsia"/>
              <w:lang w:val="en-US" w:eastAsia="zh-CN"/>
            </w:rPr>
            <w:t>3</w:t>
          </w:r>
          <w:r>
            <w:rPr>
              <w:rFonts w:hint="eastAsia" w:asciiTheme="minorEastAsia" w:hAnsiTheme="minorEastAsia" w:eastAsiaTheme="minorEastAsia" w:cstheme="minorEastAsia"/>
              <w:lang w:eastAsia="zh-CN"/>
            </w:rPr>
            <w:t>辨象诊断</w:t>
          </w:r>
          <w:r>
            <w:tab/>
          </w:r>
          <w:r>
            <w:fldChar w:fldCharType="begin"/>
          </w:r>
          <w:r>
            <w:instrText xml:space="preserve"> PAGEREF _Toc12867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6DF88E73">
          <w:pPr>
            <w:pStyle w:val="11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_Toc27669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/>
            </w:rPr>
            <w:t>2</w:t>
          </w:r>
          <w:r>
            <w:t xml:space="preserve"> 治疗方法</w:t>
          </w:r>
          <w:r>
            <w:tab/>
          </w:r>
          <w:r>
            <w:fldChar w:fldCharType="begin"/>
          </w:r>
          <w:r>
            <w:instrText xml:space="preserve"> PAGEREF _Toc27669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4314C044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_Toc30941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</w:rPr>
            <w:t>2.1 内治法</w:t>
          </w:r>
          <w:r>
            <w:tab/>
          </w:r>
          <w:r>
            <w:fldChar w:fldCharType="begin"/>
          </w:r>
          <w:r>
            <w:instrText xml:space="preserve"> PAGEREF _Toc30941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11006D93">
          <w:pPr>
            <w:pStyle w:val="8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_Toc13118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/>
              <w:szCs w:val="21"/>
              <w:lang w:val="en-US" w:eastAsia="zh-CN"/>
            </w:rPr>
            <w:t>2.1.1辨证口服朝药汤剂</w:t>
          </w:r>
          <w:r>
            <w:tab/>
          </w:r>
          <w:r>
            <w:fldChar w:fldCharType="begin"/>
          </w:r>
          <w:r>
            <w:instrText xml:space="preserve"> PAGEREF _Toc13118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659B8B91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_Toc29599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</w:rPr>
            <w:t>2.2外治疗法</w:t>
          </w:r>
          <w:r>
            <w:tab/>
          </w:r>
          <w:r>
            <w:fldChar w:fldCharType="begin"/>
          </w:r>
          <w:r>
            <w:instrText xml:space="preserve"> PAGEREF _Toc29599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7EBEE50A">
          <w:pPr>
            <w:pStyle w:val="12"/>
            <w:tabs>
              <w:tab w:val="right" w:leader="dot" w:pos="8306"/>
            </w:tabs>
            <w:ind w:firstLine="420" w:firstLineChars="200"/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_Toc28379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/>
              <w:szCs w:val="21"/>
              <w:highlight w:val="none"/>
            </w:rPr>
            <w:t>2.</w:t>
          </w:r>
          <w:r>
            <w:rPr>
              <w:rFonts w:hint="eastAsia"/>
              <w:szCs w:val="21"/>
              <w:highlight w:val="none"/>
              <w:lang w:val="en-US" w:eastAsia="zh-CN"/>
            </w:rPr>
            <w:t>2</w:t>
          </w:r>
          <w:r>
            <w:rPr>
              <w:rFonts w:hint="eastAsia"/>
              <w:szCs w:val="21"/>
              <w:highlight w:val="none"/>
            </w:rPr>
            <w:t>.1</w:t>
          </w:r>
          <w:r>
            <w:rPr>
              <w:rFonts w:hint="eastAsia"/>
              <w:szCs w:val="21"/>
              <w:highlight w:val="none"/>
              <w:lang w:eastAsia="zh-CN"/>
            </w:rPr>
            <w:t>太极针刺</w:t>
          </w:r>
          <w:r>
            <w:rPr>
              <w:rFonts w:hint="eastAsia"/>
              <w:szCs w:val="21"/>
              <w:highlight w:val="none"/>
            </w:rPr>
            <w:t>法（</w:t>
          </w:r>
          <w:r>
            <w:rPr>
              <w:rFonts w:ascii="Times New Roman" w:hAnsi="Times New Roman" w:cs="Times New Roman"/>
              <w:szCs w:val="21"/>
              <w:highlight w:val="none"/>
            </w:rPr>
            <w:t>DB22/T 2748-2017</w:t>
          </w:r>
          <w:r>
            <w:rPr>
              <w:rFonts w:hint="eastAsia"/>
              <w:szCs w:val="21"/>
              <w:highlight w:val="none"/>
            </w:rPr>
            <w:t>）</w:t>
          </w:r>
          <w:r>
            <w:tab/>
          </w:r>
          <w:r>
            <w:fldChar w:fldCharType="begin"/>
          </w:r>
          <w:r>
            <w:instrText xml:space="preserve"> PAGEREF _Toc28379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5243BCCA">
          <w:pPr>
            <w:pStyle w:val="12"/>
            <w:tabs>
              <w:tab w:val="right" w:leader="dot" w:pos="8306"/>
            </w:tabs>
            <w:ind w:firstLine="420" w:firstLineChars="200"/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_Toc26428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/>
              <w:szCs w:val="21"/>
              <w:highlight w:val="none"/>
            </w:rPr>
            <w:t>2.</w:t>
          </w:r>
          <w:r>
            <w:rPr>
              <w:rFonts w:hint="eastAsia"/>
              <w:szCs w:val="21"/>
              <w:highlight w:val="none"/>
              <w:lang w:val="en-US" w:eastAsia="zh-CN"/>
            </w:rPr>
            <w:t>2</w:t>
          </w:r>
          <w:r>
            <w:rPr>
              <w:rFonts w:hint="eastAsia"/>
              <w:szCs w:val="21"/>
              <w:highlight w:val="none"/>
            </w:rPr>
            <w:t>.</w:t>
          </w:r>
          <w:r>
            <w:rPr>
              <w:rFonts w:hint="eastAsia"/>
              <w:szCs w:val="21"/>
              <w:highlight w:val="none"/>
              <w:lang w:val="en-US" w:eastAsia="zh-CN"/>
            </w:rPr>
            <w:t>2</w:t>
          </w:r>
          <w:r>
            <w:rPr>
              <w:rFonts w:hint="eastAsia"/>
              <w:szCs w:val="21"/>
              <w:highlight w:val="none"/>
              <w:lang w:eastAsia="zh-CN"/>
            </w:rPr>
            <w:t>朝医灸法</w:t>
          </w:r>
          <w:r>
            <w:tab/>
          </w:r>
          <w:r>
            <w:fldChar w:fldCharType="begin"/>
          </w:r>
          <w:r>
            <w:instrText xml:space="preserve"> PAGEREF _Toc26428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60BAA9E3">
          <w:pPr>
            <w:pStyle w:val="12"/>
            <w:tabs>
              <w:tab w:val="right" w:leader="dot" w:pos="8306"/>
            </w:tabs>
            <w:ind w:firstLine="420" w:firstLineChars="200"/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_Toc8777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/>
              <w:szCs w:val="21"/>
              <w:highlight w:val="none"/>
            </w:rPr>
            <w:t>2.</w:t>
          </w:r>
          <w:r>
            <w:rPr>
              <w:rFonts w:hint="eastAsia"/>
              <w:szCs w:val="21"/>
              <w:highlight w:val="none"/>
              <w:lang w:val="en-US" w:eastAsia="zh-CN"/>
            </w:rPr>
            <w:t>2</w:t>
          </w:r>
          <w:r>
            <w:rPr>
              <w:rFonts w:hint="eastAsia"/>
              <w:szCs w:val="21"/>
              <w:highlight w:val="none"/>
            </w:rPr>
            <w:t>.</w:t>
          </w:r>
          <w:r>
            <w:rPr>
              <w:rFonts w:hint="eastAsia"/>
              <w:szCs w:val="21"/>
              <w:highlight w:val="none"/>
              <w:lang w:val="en-US" w:eastAsia="zh-CN"/>
            </w:rPr>
            <w:t>3</w:t>
          </w:r>
          <w:r>
            <w:rPr>
              <w:rFonts w:hint="eastAsia"/>
              <w:szCs w:val="21"/>
              <w:highlight w:val="none"/>
              <w:lang w:eastAsia="zh-CN"/>
            </w:rPr>
            <w:t>药枕疗法（</w:t>
          </w:r>
          <w:r>
            <w:rPr>
              <w:szCs w:val="21"/>
              <w:highlight w:val="none"/>
            </w:rPr>
            <w:t>CYBZ-2016-02</w:t>
          </w:r>
          <w:r>
            <w:rPr>
              <w:rFonts w:hint="eastAsia"/>
              <w:szCs w:val="21"/>
              <w:highlight w:val="none"/>
              <w:lang w:eastAsia="zh-CN"/>
            </w:rPr>
            <w:t>）</w:t>
          </w:r>
          <w:r>
            <w:tab/>
          </w:r>
          <w:r>
            <w:fldChar w:fldCharType="begin"/>
          </w:r>
          <w:r>
            <w:instrText xml:space="preserve"> PAGEREF _Toc8777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35ECC3A9">
          <w:pPr>
            <w:pStyle w:val="12"/>
            <w:tabs>
              <w:tab w:val="right" w:leader="dot" w:pos="8306"/>
            </w:tabs>
            <w:ind w:firstLine="420" w:firstLineChars="200"/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_Toc3573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/>
              <w:szCs w:val="21"/>
              <w:highlight w:val="none"/>
            </w:rPr>
            <w:t>2.</w:t>
          </w:r>
          <w:r>
            <w:rPr>
              <w:rFonts w:hint="eastAsia"/>
              <w:szCs w:val="21"/>
              <w:highlight w:val="none"/>
              <w:lang w:val="en-US" w:eastAsia="zh-CN"/>
            </w:rPr>
            <w:t>2</w:t>
          </w:r>
          <w:r>
            <w:rPr>
              <w:rFonts w:hint="eastAsia"/>
              <w:szCs w:val="21"/>
              <w:highlight w:val="none"/>
            </w:rPr>
            <w:t>.</w:t>
          </w:r>
          <w:r>
            <w:rPr>
              <w:rFonts w:hint="eastAsia"/>
              <w:szCs w:val="21"/>
              <w:highlight w:val="none"/>
              <w:lang w:val="en-US" w:eastAsia="zh-CN"/>
            </w:rPr>
            <w:t>4朝医贴敷</w:t>
          </w:r>
          <w:r>
            <w:rPr>
              <w:rFonts w:hint="eastAsia"/>
              <w:szCs w:val="21"/>
              <w:highlight w:val="none"/>
              <w:lang w:eastAsia="zh-CN"/>
            </w:rPr>
            <w:t>疗法</w:t>
          </w:r>
          <w:r>
            <w:tab/>
          </w:r>
          <w:r>
            <w:fldChar w:fldCharType="begin"/>
          </w:r>
          <w:r>
            <w:instrText xml:space="preserve"> PAGEREF _Toc3573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44FAC87E">
          <w:pPr>
            <w:pStyle w:val="11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_Toc4364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/>
            </w:rPr>
            <w:t>3护理调摄</w:t>
          </w:r>
          <w:r>
            <w:tab/>
          </w:r>
          <w:r>
            <w:fldChar w:fldCharType="begin"/>
          </w:r>
          <w:r>
            <w:instrText xml:space="preserve"> PAGEREF _Toc4364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130C764E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_Toc9936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="宋体" w:hAnsi="宋体" w:cs="宋体"/>
              <w:szCs w:val="20"/>
            </w:rPr>
            <w:t>3.</w:t>
          </w:r>
          <w:r>
            <w:rPr>
              <w:rFonts w:hint="eastAsia" w:ascii="宋体" w:hAnsi="宋体" w:eastAsia="宋体" w:cs="宋体"/>
              <w:szCs w:val="20"/>
            </w:rPr>
            <w:t>1生活起居：</w:t>
          </w:r>
          <w:r>
            <w:tab/>
          </w:r>
          <w:r>
            <w:fldChar w:fldCharType="begin"/>
          </w:r>
          <w:r>
            <w:instrText xml:space="preserve"> PAGEREF _Toc9936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3E4F3036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_Toc987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="宋体" w:hAnsi="宋体" w:cs="宋体"/>
              <w:szCs w:val="20"/>
            </w:rPr>
            <w:t>3.</w:t>
          </w:r>
          <w:r>
            <w:rPr>
              <w:rFonts w:hint="eastAsia" w:ascii="宋体" w:hAnsi="宋体" w:eastAsia="宋体" w:cs="宋体"/>
              <w:szCs w:val="20"/>
            </w:rPr>
            <w:t>2饮食调理：</w:t>
          </w:r>
          <w:r>
            <w:tab/>
          </w:r>
          <w:r>
            <w:fldChar w:fldCharType="begin"/>
          </w:r>
          <w:r>
            <w:instrText xml:space="preserve"> PAGEREF _Toc987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32F8145D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_Toc24421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="宋体" w:hAnsi="宋体" w:eastAsia="宋体" w:cs="宋体"/>
              <w:szCs w:val="20"/>
            </w:rPr>
            <w:t>3.</w:t>
          </w:r>
          <w:r>
            <w:rPr>
              <w:rFonts w:hint="eastAsia" w:ascii="宋体" w:hAnsi="宋体" w:cs="宋体"/>
              <w:szCs w:val="20"/>
            </w:rPr>
            <w:t>3</w:t>
          </w:r>
          <w:r>
            <w:rPr>
              <w:rFonts w:hint="eastAsia" w:ascii="宋体" w:hAnsi="宋体" w:eastAsia="宋体" w:cs="宋体"/>
              <w:szCs w:val="20"/>
            </w:rPr>
            <w:t>心理调摄：</w:t>
          </w:r>
          <w:r>
            <w:tab/>
          </w:r>
          <w:r>
            <w:fldChar w:fldCharType="begin"/>
          </w:r>
          <w:r>
            <w:instrText xml:space="preserve"> PAGEREF _Toc24421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738B757B">
          <w:pPr>
            <w:ind w:firstLine="2730" w:firstLineChars="1300"/>
            <w:jc w:val="left"/>
            <w:rPr>
              <w:rFonts w:hint="eastAsia" w:asciiTheme="minorEastAsia" w:hAnsiTheme="minorEastAsia" w:eastAsiaTheme="minorEastAsia" w:cstheme="minorEastAsia"/>
              <w:bCs/>
              <w:szCs w:val="22"/>
            </w:rPr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</w:sdtContent>
    </w:sdt>
    <w:p w14:paraId="3E3F14D6">
      <w:pPr>
        <w:ind w:firstLine="2730" w:firstLineChars="1300"/>
        <w:jc w:val="left"/>
        <w:rPr>
          <w:rFonts w:hint="eastAsia" w:asciiTheme="minorEastAsia" w:hAnsiTheme="minorEastAsia" w:eastAsiaTheme="minorEastAsia" w:cstheme="minorEastAsia"/>
          <w:bCs/>
          <w:szCs w:val="22"/>
        </w:rPr>
      </w:pPr>
    </w:p>
    <w:p w14:paraId="08C34239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06CFCB9A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67E34B36">
      <w:p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6B0A379C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2AC0415D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FD798C1">
      <w:bookmarkStart w:id="52" w:name="_GoBack"/>
      <w:bookmarkEnd w:id="52"/>
    </w:p>
    <w:p w14:paraId="34EC6901">
      <w:pPr>
        <w:pStyle w:val="4"/>
        <w:suppressAutoHyphens w:val="0"/>
        <w:spacing w:before="0" w:after="0" w:line="240" w:lineRule="auto"/>
        <w:jc w:val="center"/>
        <w:rPr>
          <w:rFonts w:hint="eastAsia" w:asciiTheme="majorEastAsia" w:hAnsiTheme="majorEastAsia" w:eastAsiaTheme="majorEastAsia" w:cstheme="majorEastAsia"/>
          <w:b w:val="0"/>
          <w:bCs/>
          <w:sz w:val="36"/>
          <w:szCs w:val="36"/>
        </w:rPr>
      </w:pPr>
      <w:bookmarkStart w:id="1" w:name="_Toc25628"/>
      <w:bookmarkStart w:id="2" w:name="_Toc6381"/>
      <w:r>
        <w:rPr>
          <w:rFonts w:hint="eastAsia" w:asciiTheme="majorEastAsia" w:hAnsiTheme="majorEastAsia" w:eastAsiaTheme="majorEastAsia" w:cstheme="majorEastAsia"/>
          <w:sz w:val="36"/>
          <w:szCs w:val="36"/>
          <w:lang w:eastAsia="zh-CN"/>
        </w:rPr>
        <w:t>中风病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（</w:t>
      </w:r>
      <w:r>
        <w:rPr>
          <w:rFonts w:hint="eastAsia" w:asciiTheme="majorEastAsia" w:hAnsiTheme="majorEastAsia" w:eastAsiaTheme="majorEastAsia" w:cstheme="majorEastAsia"/>
          <w:sz w:val="36"/>
          <w:szCs w:val="36"/>
          <w:lang w:eastAsia="zh-CN"/>
        </w:rPr>
        <w:t>缺血性脑卒中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）</w:t>
      </w:r>
      <w:r>
        <w:rPr>
          <w:rFonts w:hint="eastAsia" w:asciiTheme="majorEastAsia" w:hAnsiTheme="majorEastAsia" w:eastAsiaTheme="majorEastAsia" w:cstheme="majorEastAsia"/>
          <w:sz w:val="36"/>
          <w:szCs w:val="36"/>
          <w:lang w:eastAsia="zh-CN"/>
        </w:rPr>
        <w:t>朝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医诊疗方案</w:t>
      </w:r>
      <w:bookmarkEnd w:id="0"/>
      <w:bookmarkEnd w:id="1"/>
      <w:bookmarkEnd w:id="2"/>
    </w:p>
    <w:p w14:paraId="69A2D2DC">
      <w:pPr>
        <w:pStyle w:val="4"/>
      </w:pPr>
      <w:bookmarkStart w:id="3" w:name="_Toc219841211"/>
      <w:bookmarkStart w:id="4" w:name="_Toc22283"/>
      <w:r>
        <w:rPr>
          <w:rFonts w:hint="eastAsia"/>
        </w:rPr>
        <w:t xml:space="preserve">1 </w:t>
      </w:r>
      <w:r>
        <w:t xml:space="preserve"> 诊断</w:t>
      </w:r>
      <w:bookmarkEnd w:id="3"/>
      <w:bookmarkEnd w:id="4"/>
    </w:p>
    <w:p w14:paraId="192CB36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中风病属于朝医“中风”范畴，在朝医学理论体系中，本病是因气血失调、四象体质失衡等因素导致脑脉痹阻，以突然昏仆、半身不遂、肢体麻木、口眼歪斜、言语不利等为主要表现的病证，现代医学中缺血性脑卒中可归属于本病范畴。</w:t>
      </w:r>
    </w:p>
    <w:p w14:paraId="256FEBB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参照《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朝医常见病证诊断规范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》（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DB22/T 2944.1-2018 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）。</w:t>
      </w:r>
    </w:p>
    <w:p w14:paraId="1ABA3827">
      <w:pPr>
        <w:pStyle w:val="5"/>
        <w:rPr>
          <w:rFonts w:ascii="Times New Roman" w:hAnsi="Times New Roman" w:cs="Times New Roman"/>
          <w:szCs w:val="21"/>
        </w:rPr>
      </w:pPr>
      <w:bookmarkStart w:id="5" w:name="_Toc25731"/>
      <w:bookmarkStart w:id="6" w:name="_Toc219841212"/>
      <w:r>
        <w:rPr>
          <w:rFonts w:hint="eastAsia" w:ascii="宋体" w:hAnsi="宋体" w:eastAsia="宋体" w:cs="宋体"/>
          <w:sz w:val="24"/>
        </w:rPr>
        <w:t>1.1 疾病诊断</w:t>
      </w:r>
      <w:bookmarkEnd w:id="5"/>
      <w:bookmarkEnd w:id="6"/>
    </w:p>
    <w:p w14:paraId="4A21AE32">
      <w:pPr>
        <w:pStyle w:val="6"/>
        <w:rPr>
          <w:rFonts w:cs="Times New Roman"/>
          <w:szCs w:val="21"/>
        </w:rPr>
      </w:pPr>
      <w:bookmarkStart w:id="7" w:name="_Toc219841213"/>
      <w:bookmarkStart w:id="8" w:name="_Toc20118"/>
      <w:r>
        <w:rPr>
          <w:sz w:val="21"/>
          <w:szCs w:val="21"/>
        </w:rPr>
        <w:t xml:space="preserve">1.1.1 </w:t>
      </w:r>
      <w:r>
        <w:rPr>
          <w:rFonts w:hint="eastAsia"/>
          <w:sz w:val="21"/>
          <w:szCs w:val="21"/>
          <w:lang w:eastAsia="zh-CN"/>
        </w:rPr>
        <w:t>朝</w:t>
      </w:r>
      <w:r>
        <w:rPr>
          <w:sz w:val="21"/>
          <w:szCs w:val="21"/>
        </w:rPr>
        <w:t>医诊断标准</w:t>
      </w:r>
      <w:bookmarkEnd w:id="7"/>
      <w:bookmarkEnd w:id="8"/>
    </w:p>
    <w:p w14:paraId="7070C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Arial Unicode MS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</w:pPr>
      <w:bookmarkStart w:id="9" w:name="_Toc219841214"/>
      <w:r>
        <w:rPr>
          <w:rFonts w:hint="eastAsia" w:ascii="宋体" w:hAnsi="宋体" w:eastAsia="宋体" w:cs="宋体"/>
          <w:sz w:val="24"/>
          <w:szCs w:val="24"/>
        </w:rPr>
        <w:t>参照《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朝医常见病证诊</w:t>
      </w:r>
      <w:r>
        <w:rPr>
          <w:rFonts w:hint="eastAsia" w:ascii="Times New Roman" w:hAnsi="Times New Roman" w:eastAsia="宋体" w:cs="Arial Unicode MS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  <w:t>断规范》（DB22/T 2944.1-2018 ）。</w:t>
      </w:r>
    </w:p>
    <w:p w14:paraId="6B62D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本病是以半身不遂、口舌歪斜、舌强言謇、偏身麻木、甚至神志恍惚、迷蒙、神昏、昏愦为主症。发病急骤，有渐进发展过程。病前多有头晕及头痛、肢体麻木等先兆。</w:t>
      </w:r>
    </w:p>
    <w:p w14:paraId="4323551F">
      <w:pPr>
        <w:pStyle w:val="6"/>
        <w:rPr>
          <w:sz w:val="21"/>
          <w:szCs w:val="21"/>
        </w:rPr>
      </w:pPr>
      <w:bookmarkStart w:id="10" w:name="_Toc23324"/>
      <w:r>
        <w:rPr>
          <w:sz w:val="21"/>
          <w:szCs w:val="21"/>
        </w:rPr>
        <w:t>1.1.2 西医诊断标准</w:t>
      </w:r>
      <w:bookmarkEnd w:id="9"/>
      <w:bookmarkEnd w:id="10"/>
    </w:p>
    <w:p w14:paraId="6ADBA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参照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中华医学会神经病学分会脑血管病学组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sz w:val="24"/>
          <w:szCs w:val="24"/>
        </w:rPr>
        <w:t>年颁布的《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中国急性期缺血性脑卒中诊治指南</w:t>
      </w:r>
      <w:r>
        <w:rPr>
          <w:rFonts w:hint="eastAsia" w:ascii="宋体" w:hAnsi="宋体" w:eastAsia="宋体" w:cs="宋体"/>
          <w:sz w:val="24"/>
          <w:szCs w:val="24"/>
        </w:rPr>
        <w:t>》（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中华神经科杂志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2023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 w14:paraId="6000E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11" w:name="_Toc219841215"/>
      <w:r>
        <w:rPr>
          <w:rFonts w:hint="eastAsia" w:ascii="宋体" w:hAnsi="宋体" w:eastAsia="宋体" w:cs="宋体"/>
          <w:sz w:val="24"/>
          <w:szCs w:val="24"/>
          <w:highlight w:val="none"/>
        </w:rPr>
        <w:t>（1）症状表现：突然出现的单侧或双侧肢体麻木、无力、口角歪斜、言语不清等。</w:t>
      </w:r>
    </w:p>
    <w:p w14:paraId="5B8AD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（2）时间标准：发病时间在24小时内，持续时间超过60分钟，或影像学检查显示脑组织缺血性改变。</w:t>
      </w:r>
    </w:p>
    <w:p w14:paraId="5F990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（3）影像学检查：头部CT或MRI显示脑部缺血性病灶。</w:t>
      </w:r>
    </w:p>
    <w:p w14:paraId="7FAED6DA">
      <w:pPr>
        <w:pStyle w:val="5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bookmarkStart w:id="12" w:name="_Toc3770"/>
      <w:r>
        <w:rPr>
          <w:rFonts w:hint="eastAsia" w:asciiTheme="minorEastAsia" w:hAnsiTheme="minorEastAsia" w:eastAsiaTheme="minorEastAsia" w:cstheme="minorEastAsia"/>
          <w:sz w:val="24"/>
        </w:rPr>
        <w:t>1.2</w:t>
      </w:r>
      <w:bookmarkEnd w:id="11"/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证候诊断</w:t>
      </w:r>
      <w:bookmarkEnd w:id="12"/>
    </w:p>
    <w:p w14:paraId="2C4086B0">
      <w:pPr>
        <w:pStyle w:val="6"/>
        <w:rPr>
          <w:sz w:val="21"/>
          <w:szCs w:val="21"/>
        </w:rPr>
      </w:pPr>
      <w:bookmarkStart w:id="13" w:name="_Toc219841216"/>
      <w:bookmarkStart w:id="14" w:name="_Toc31741"/>
      <w:r>
        <w:rPr>
          <w:sz w:val="21"/>
          <w:szCs w:val="21"/>
        </w:rPr>
        <w:t xml:space="preserve">1.2.1 </w:t>
      </w:r>
      <w:bookmarkEnd w:id="13"/>
      <w:r>
        <w:rPr>
          <w:rFonts w:hint="eastAsia" w:ascii="Times New Roman" w:hAnsi="Times New Roman" w:cs="Times New Roman"/>
          <w:sz w:val="21"/>
          <w:szCs w:val="21"/>
          <w:highlight w:val="none"/>
          <w:lang w:val="zh-CN"/>
        </w:rPr>
        <w:t>痰热内闭证</w:t>
      </w:r>
      <w:bookmarkEnd w:id="14"/>
    </w:p>
    <w:p w14:paraId="7C3E9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主症：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意识障碍、半身不遂，口舌歪斜，言语謇涩或不语，感觉减退或消失。</w:t>
      </w:r>
    </w:p>
    <w:p w14:paraId="080AC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次症：鼻鼾痰鸣，或肢体拘急，或躁扰不宁，或身热，或口臭，或抽搐，或呕血。</w:t>
      </w:r>
    </w:p>
    <w:p w14:paraId="74DDFFD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舌脉：舌质红、舌苔黄腻，脉弦滑数。</w:t>
      </w:r>
    </w:p>
    <w:p w14:paraId="269B9324">
      <w:pPr>
        <w:pStyle w:val="6"/>
        <w:rPr>
          <w:sz w:val="21"/>
          <w:szCs w:val="21"/>
        </w:rPr>
      </w:pPr>
      <w:bookmarkStart w:id="15" w:name="_Toc219841217"/>
      <w:bookmarkStart w:id="16" w:name="_Toc8400"/>
      <w:r>
        <w:rPr>
          <w:sz w:val="21"/>
          <w:szCs w:val="21"/>
        </w:rPr>
        <w:t xml:space="preserve">1.2.2 </w:t>
      </w:r>
      <w:bookmarkEnd w:id="15"/>
      <w:r>
        <w:rPr>
          <w:rFonts w:hint="eastAsia"/>
          <w:sz w:val="21"/>
          <w:szCs w:val="21"/>
          <w:lang w:val="zh-CN"/>
        </w:rPr>
        <w:t>风痰瘀阻证</w:t>
      </w:r>
      <w:bookmarkEnd w:id="16"/>
    </w:p>
    <w:p w14:paraId="6F3A5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主症：半身不遂，口舌歪斜，言语謇涩或不语，感觉减退或消失。</w:t>
      </w:r>
    </w:p>
    <w:p w14:paraId="77724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次症：头晕目眩，痰多而黏。</w:t>
      </w:r>
    </w:p>
    <w:p w14:paraId="23C97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舌脉：舌质暗淡，舌苔薄白或白腻，脉弦滑。</w:t>
      </w:r>
    </w:p>
    <w:p w14:paraId="6714CA8D">
      <w:pPr>
        <w:pStyle w:val="6"/>
        <w:rPr>
          <w:sz w:val="21"/>
          <w:szCs w:val="21"/>
        </w:rPr>
      </w:pPr>
      <w:bookmarkStart w:id="17" w:name="_Toc7606"/>
      <w:r>
        <w:rPr>
          <w:rFonts w:hint="eastAsia"/>
          <w:sz w:val="21"/>
          <w:szCs w:val="21"/>
          <w:lang w:val="en-US" w:eastAsia="zh-CN"/>
        </w:rPr>
        <w:t>1</w:t>
      </w:r>
      <w:r>
        <w:rPr>
          <w:sz w:val="21"/>
          <w:szCs w:val="21"/>
        </w:rPr>
        <w:t>.2.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风火上扰</w:t>
      </w:r>
      <w:r>
        <w:rPr>
          <w:rFonts w:hint="eastAsia"/>
          <w:sz w:val="21"/>
          <w:szCs w:val="21"/>
          <w:lang w:val="zh-CN"/>
        </w:rPr>
        <w:t>证</w:t>
      </w:r>
      <w:bookmarkEnd w:id="17"/>
    </w:p>
    <w:p w14:paraId="6977A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主症：半身不遂，口舌歪斜，言语謇涩或不语，感觉减退或消失。</w:t>
      </w:r>
    </w:p>
    <w:p w14:paraId="62198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次症：偏身麻木，头晕头痛，面红目赤，口苦咽干，心烦易怒，尿赤便干。</w:t>
      </w:r>
    </w:p>
    <w:p w14:paraId="0A165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舌脉：舌质红或红绛，舌苔薄黄，脉弦有力。</w:t>
      </w:r>
    </w:p>
    <w:p w14:paraId="5945CD6D">
      <w:pPr>
        <w:pStyle w:val="6"/>
        <w:rPr>
          <w:rFonts w:hint="eastAsia"/>
          <w:sz w:val="21"/>
          <w:szCs w:val="21"/>
          <w:lang w:val="en-US" w:eastAsia="zh-CN"/>
        </w:rPr>
      </w:pPr>
      <w:bookmarkStart w:id="18" w:name="_Toc4434"/>
      <w:r>
        <w:rPr>
          <w:rFonts w:hint="eastAsia"/>
          <w:sz w:val="21"/>
          <w:szCs w:val="21"/>
          <w:lang w:val="en-US" w:eastAsia="zh-CN"/>
        </w:rPr>
        <w:t xml:space="preserve">1.2.4 </w:t>
      </w:r>
      <w:r>
        <w:rPr>
          <w:rFonts w:hint="eastAsia"/>
          <w:sz w:val="21"/>
          <w:szCs w:val="21"/>
          <w:lang w:val="zh-CN" w:eastAsia="zh-CN"/>
        </w:rPr>
        <w:t>气虚血瘀证</w:t>
      </w:r>
      <w:bookmarkEnd w:id="18"/>
    </w:p>
    <w:p w14:paraId="7E94B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主症：半身不遂，口舌歪斜，言语謇涩或不语，感觉减退或消失。</w:t>
      </w:r>
    </w:p>
    <w:p w14:paraId="12147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次症：面色晄白，气短乏力，口角流涎，自汗出，心悸便溏，手足肿胀。</w:t>
      </w:r>
    </w:p>
    <w:p w14:paraId="04240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舌脉：舌质暗淡，舌苔白腻，有齿痕，脉沉细。</w:t>
      </w:r>
    </w:p>
    <w:p w14:paraId="50943B64">
      <w:pPr>
        <w:pStyle w:val="5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bookmarkStart w:id="19" w:name="_Toc12867"/>
      <w:r>
        <w:rPr>
          <w:rFonts w:hint="eastAsia" w:asciiTheme="minorEastAsia" w:hAnsiTheme="minorEastAsia" w:eastAsiaTheme="minorEastAsia" w:cstheme="minorEastAsia"/>
          <w:sz w:val="24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辨象诊断</w:t>
      </w:r>
      <w:bookmarkEnd w:id="19"/>
    </w:p>
    <w:p w14:paraId="32F3A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参照《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朝医辨象规范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》（DB22/T 2942-2018 ）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、朝医四象体质量表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（DB22/T 3149-2020）。</w:t>
      </w:r>
    </w:p>
    <w:p w14:paraId="57C4AA9F">
      <w:pPr>
        <w:pStyle w:val="4"/>
        <w:rPr>
          <w:szCs w:val="21"/>
        </w:rPr>
      </w:pPr>
      <w:bookmarkStart w:id="20" w:name="_Toc27669"/>
      <w:bookmarkStart w:id="21" w:name="_Toc219841219"/>
      <w:r>
        <w:rPr>
          <w:rFonts w:hint="eastAsia"/>
        </w:rPr>
        <w:t>2</w:t>
      </w:r>
      <w:r>
        <w:t xml:space="preserve"> 治疗方法</w:t>
      </w:r>
      <w:bookmarkEnd w:id="20"/>
      <w:bookmarkEnd w:id="21"/>
    </w:p>
    <w:p w14:paraId="0C14C6E6">
      <w:pPr>
        <w:pStyle w:val="5"/>
        <w:rPr>
          <w:rFonts w:ascii="Times New Roman" w:hAnsi="Times New Roman" w:cs="Times New Roman"/>
          <w:szCs w:val="21"/>
        </w:rPr>
      </w:pPr>
      <w:bookmarkStart w:id="22" w:name="_Toc219841220"/>
      <w:bookmarkStart w:id="23" w:name="_Toc30941"/>
      <w:r>
        <w:rPr>
          <w:rFonts w:hint="eastAsia" w:asciiTheme="minorEastAsia" w:hAnsiTheme="minorEastAsia" w:eastAsiaTheme="minorEastAsia" w:cstheme="minorEastAsia"/>
          <w:sz w:val="24"/>
        </w:rPr>
        <w:t>2.1 内治法</w:t>
      </w:r>
      <w:bookmarkEnd w:id="22"/>
      <w:bookmarkEnd w:id="23"/>
    </w:p>
    <w:p w14:paraId="451C0242">
      <w:pPr>
        <w:pStyle w:val="6"/>
        <w:rPr>
          <w:rFonts w:hint="eastAsia"/>
          <w:sz w:val="21"/>
          <w:szCs w:val="21"/>
          <w:lang w:val="en-US" w:eastAsia="zh-CN"/>
        </w:rPr>
      </w:pPr>
      <w:bookmarkStart w:id="24" w:name="_Toc13118"/>
      <w:r>
        <w:rPr>
          <w:rFonts w:hint="eastAsia"/>
          <w:sz w:val="21"/>
          <w:szCs w:val="21"/>
          <w:lang w:val="en-US" w:eastAsia="zh-CN"/>
        </w:rPr>
        <w:t>2.1.1辨证口服朝药汤剂</w:t>
      </w:r>
      <w:bookmarkEnd w:id="24"/>
    </w:p>
    <w:p w14:paraId="09866D8F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</w:t>
      </w:r>
      <w:r>
        <w:rPr>
          <w:rFonts w:ascii="Times New Roman" w:hAnsi="Times New Roman" w:cs="Times New Roman"/>
          <w:sz w:val="24"/>
          <w:szCs w:val="24"/>
          <w:highlight w:val="none"/>
        </w:rPr>
        <w:t>1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zh-CN"/>
        </w:rPr>
        <w:t>痰热内闭证</w:t>
      </w:r>
    </w:p>
    <w:p w14:paraId="78E9BA27">
      <w:pPr>
        <w:spacing w:line="360" w:lineRule="auto"/>
        <w:rPr>
          <w:rFonts w:ascii="Times New Roman" w:hAnsi="Times New Roman" w:cs="Times New Roman"/>
          <w:bCs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2.1.1.1.1</w:t>
      </w:r>
      <w:r>
        <w:rPr>
          <w:rFonts w:hint="eastAsia" w:ascii="Times New Roman" w:hAnsi="Times New Roman" w:cs="Times New Roman"/>
          <w:bCs/>
          <w:sz w:val="24"/>
          <w:szCs w:val="24"/>
          <w:highlight w:val="none"/>
        </w:rPr>
        <w:t>太阳人</w:t>
      </w:r>
    </w:p>
    <w:p w14:paraId="7D3E9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治法：补肝清热，化痰开窍。</w:t>
      </w:r>
    </w:p>
    <w:p w14:paraId="0916F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方药：猕猴藤植肠汤（《东医寿世保元》）。</w:t>
      </w:r>
      <w:r>
        <w:rPr>
          <w:rFonts w:hint="eastAsia"/>
          <w:sz w:val="24"/>
          <w:szCs w:val="24"/>
        </w:rPr>
        <w:t>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5157AA43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猕猴藤、木瓜、葡萄根、芦根、樱桃肉、五加皮、松花。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7714A029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7E558BA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2.1.1.1.2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太阴人</w:t>
      </w:r>
    </w:p>
    <w:p w14:paraId="2A97D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治法：补肺清热，化痰开窍。</w:t>
      </w:r>
    </w:p>
    <w:p w14:paraId="0FBB9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方药：调胃续命汤（《东医四象新编》）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合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熊胆散（《东医寿世保元》）。</w:t>
      </w:r>
      <w:r>
        <w:rPr>
          <w:rFonts w:hint="eastAsia"/>
          <w:sz w:val="24"/>
          <w:szCs w:val="24"/>
        </w:rPr>
        <w:t>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22853654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薏苡仁、莱菔子、麦冬、石菖蒲、桔梗、麻黄、藁本</w:t>
      </w:r>
      <w:r>
        <w:rPr>
          <w:rFonts w:hint="eastAsia" w:ascii="Times New Roman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熊胆（1.5~2.5g温水吞服）</w:t>
      </w:r>
      <w:r>
        <w:rPr>
          <w:rFonts w:hint="eastAsia" w:ascii="Times New Roman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1E0415A7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8431EE9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2.1.1.1.3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少阳人</w:t>
      </w:r>
    </w:p>
    <w:p w14:paraId="53BEDE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治法：滋阴补肾，化痰开窍。</w:t>
      </w:r>
    </w:p>
    <w:p w14:paraId="54959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方药：凉膈散火汤（《东医寿世保元》）。</w:t>
      </w:r>
      <w:r>
        <w:rPr>
          <w:rFonts w:hint="eastAsia"/>
          <w:sz w:val="24"/>
          <w:szCs w:val="24"/>
        </w:rPr>
        <w:t>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6317D83F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生地黄、忍冬藤、连翘、山栀子、薄荷、知母、石膏、防风、荆芥。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36DF8C76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ADD3508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2.1.1.1.4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少阴人</w:t>
      </w:r>
    </w:p>
    <w:p w14:paraId="41497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治法：补脾益气，化痰开窍。</w:t>
      </w:r>
    </w:p>
    <w:p w14:paraId="03A4B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方药：独参八物汤（《东医四象新编》）。</w:t>
      </w:r>
      <w:r>
        <w:rPr>
          <w:rFonts w:hint="eastAsia"/>
          <w:sz w:val="24"/>
          <w:szCs w:val="24"/>
        </w:rPr>
        <w:t>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62A2CA39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人参、黄芪、白术、白芍、当归、陈皮、炙甘草、生姜、大枣。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44ADDC01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D35A8B1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</w:t>
      </w:r>
      <w:r>
        <w:rPr>
          <w:rFonts w:ascii="Times New Roman" w:hAnsi="Times New Roman" w:cs="Times New Roman"/>
          <w:sz w:val="24"/>
          <w:szCs w:val="24"/>
          <w:highlight w:val="none"/>
        </w:rPr>
        <w:t>2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zh-CN"/>
        </w:rPr>
        <w:t>风痰瘀阻证</w:t>
      </w:r>
    </w:p>
    <w:p w14:paraId="088A518A">
      <w:pPr>
        <w:spacing w:line="360" w:lineRule="auto"/>
        <w:rPr>
          <w:rFonts w:ascii="Times New Roman" w:hAnsi="Times New Roman" w:cs="Times New Roman"/>
          <w:bCs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2.1.1.2.1</w:t>
      </w:r>
      <w:r>
        <w:rPr>
          <w:rFonts w:hint="eastAsia" w:ascii="Times New Roman" w:hAnsi="Times New Roman" w:cs="Times New Roman"/>
          <w:bCs/>
          <w:sz w:val="24"/>
          <w:szCs w:val="24"/>
          <w:highlight w:val="none"/>
        </w:rPr>
        <w:t>太阳人</w:t>
      </w:r>
    </w:p>
    <w:p w14:paraId="10C79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治法：补肝熄风，化痰通络。</w:t>
      </w:r>
    </w:p>
    <w:p w14:paraId="7DA43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方药：松节</w:t>
      </w:r>
      <w:r>
        <w:rPr>
          <w:rFonts w:hint="eastAsia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20g，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服用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14天，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根据病情调方或遵医嘱。</w:t>
      </w:r>
    </w:p>
    <w:p w14:paraId="5F17D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eastAsia="zh-CN"/>
        </w:rPr>
      </w:pPr>
    </w:p>
    <w:p w14:paraId="5CF6B3E8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2.1.1.2.2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太阴人</w:t>
      </w:r>
    </w:p>
    <w:p w14:paraId="595BB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治法：补肺熄风，化痰通络。</w:t>
      </w:r>
    </w:p>
    <w:p w14:paraId="6C75D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方药：太阴调胃汤（《东医寿世保元》）。</w:t>
      </w:r>
      <w:r>
        <w:rPr>
          <w:rFonts w:hint="eastAsia"/>
          <w:sz w:val="24"/>
          <w:szCs w:val="24"/>
        </w:rPr>
        <w:t>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7C20681E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薏苡仁、莱菔子、五味子、麦冬、石菖蒲、桔梗、麻黄。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2BC31A93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97FD133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2.1.1.2.3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少阳人</w:t>
      </w:r>
    </w:p>
    <w:p w14:paraId="73E1C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治法：补肾熄风，化痰通络。</w:t>
      </w:r>
    </w:p>
    <w:p w14:paraId="2D4F3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方药：独活地黄汤（《东医寿世保元》）。</w:t>
      </w:r>
      <w:r>
        <w:rPr>
          <w:rFonts w:hint="eastAsia"/>
          <w:sz w:val="24"/>
          <w:szCs w:val="24"/>
        </w:rPr>
        <w:t>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51B0F0E1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熟地黄、山茱萸、茯苓、泽泻、牡丹皮、独活、防风。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1.5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1.5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3A6B9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D4B920F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2.1.1.2.4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少阴人</w:t>
      </w:r>
    </w:p>
    <w:p w14:paraId="1D32D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治法：行气除痰，化痰通络。</w:t>
      </w:r>
    </w:p>
    <w:p w14:paraId="6AFF3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方药：祛风散（《东医四象新编》）。</w:t>
      </w:r>
      <w:r>
        <w:rPr>
          <w:rFonts w:hint="eastAsia"/>
          <w:sz w:val="24"/>
          <w:szCs w:val="24"/>
        </w:rPr>
        <w:t>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375071A8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生姜、桂枝、半夏、白芍、白术、陈皮、</w:t>
      </w:r>
      <w:r>
        <w:rPr>
          <w:rFonts w:hint="eastAsia" w:ascii="Times New Roman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炙甘草、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枳壳、青皮、</w:t>
      </w:r>
      <w:r>
        <w:rPr>
          <w:rFonts w:hint="eastAsia" w:ascii="Times New Roman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乌药、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南星。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1DC27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686D86B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</w:t>
      </w:r>
      <w:r>
        <w:rPr>
          <w:rFonts w:ascii="Times New Roman" w:hAnsi="Times New Roman" w:cs="Times New Roman"/>
          <w:sz w:val="24"/>
          <w:szCs w:val="24"/>
          <w:highlight w:val="none"/>
        </w:rPr>
        <w:t>3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风火上扰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zh-CN"/>
        </w:rPr>
        <w:t>证</w:t>
      </w:r>
    </w:p>
    <w:p w14:paraId="4C9B30E0">
      <w:pPr>
        <w:spacing w:line="360" w:lineRule="auto"/>
        <w:ind w:firstLineChars="0"/>
        <w:rPr>
          <w:rFonts w:ascii="Times New Roman" w:hAnsi="Times New Roman" w:cs="Times New Roman"/>
          <w:bCs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2.1.1.3.1</w:t>
      </w:r>
      <w:r>
        <w:rPr>
          <w:rFonts w:hint="eastAsia" w:ascii="Times New Roman" w:hAnsi="Times New Roman" w:cs="Times New Roman"/>
          <w:bCs/>
          <w:sz w:val="24"/>
          <w:szCs w:val="24"/>
          <w:highlight w:val="none"/>
        </w:rPr>
        <w:t>太阳人</w:t>
      </w:r>
    </w:p>
    <w:p w14:paraId="775AD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治法：补肝泻火，活血通络。</w:t>
      </w:r>
    </w:p>
    <w:p w14:paraId="316AC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方药：芦根</w:t>
      </w:r>
      <w:r>
        <w:rPr>
          <w:rFonts w:hint="eastAsia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20g，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服用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14天，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根据病情调方或遵医嘱。</w:t>
      </w:r>
    </w:p>
    <w:p w14:paraId="562A1C5A">
      <w:pPr>
        <w:pStyle w:val="2"/>
        <w:rPr>
          <w:rFonts w:hint="eastAsia"/>
        </w:rPr>
      </w:pPr>
    </w:p>
    <w:p w14:paraId="184ABFC8">
      <w:pPr>
        <w:pStyle w:val="25"/>
        <w:spacing w:line="360" w:lineRule="auto"/>
        <w:ind w:left="0" w:leftChars="0" w:firstLine="0" w:firstLineChars="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2.1.1.3.2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太阴人</w:t>
      </w:r>
    </w:p>
    <w:p w14:paraId="61E1A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治法：清肺泻火，活血通络。</w:t>
      </w:r>
    </w:p>
    <w:p w14:paraId="29ECF5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方药：清肺泻肝汤（《东医四象新编》）。</w:t>
      </w:r>
      <w:r>
        <w:rPr>
          <w:rFonts w:hint="eastAsia"/>
          <w:sz w:val="24"/>
          <w:szCs w:val="24"/>
        </w:rPr>
        <w:t>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7D1232CD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葛根、黄芩、藁本、莱菔子、桔梗、升麻、白芷、大黄。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46444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1119293">
      <w:pPr>
        <w:spacing w:line="360" w:lineRule="auto"/>
        <w:ind w:firstLineChars="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2.1.1.3.3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少阳人</w:t>
      </w:r>
    </w:p>
    <w:p w14:paraId="46E9B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治法：滋阴补肾，祛风通络。</w:t>
      </w:r>
    </w:p>
    <w:p w14:paraId="7C60F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方药：荆防地黄汤（《东医寿世保元》）。</w:t>
      </w:r>
      <w:r>
        <w:rPr>
          <w:rFonts w:hint="eastAsia"/>
          <w:sz w:val="24"/>
          <w:szCs w:val="24"/>
        </w:rPr>
        <w:t>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76F08C43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熟地黄、山茱萸、白茯苓、泽泻、车前子、羌活、独活、荆芥、防风。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55A29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8F10A3F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2.1.1.3.4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少阴人</w:t>
      </w:r>
    </w:p>
    <w:p w14:paraId="0717B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治法：滋阴健脾，祛风通络。</w:t>
      </w:r>
    </w:p>
    <w:p w14:paraId="15024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方药：苏合香元（《东医寿世保元》）。</w:t>
      </w:r>
      <w:r>
        <w:rPr>
          <w:rFonts w:hint="eastAsia"/>
          <w:sz w:val="24"/>
          <w:szCs w:val="24"/>
        </w:rPr>
        <w:t>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63BF9818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default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白术、木香、沉香、丁香、安息香、白檀香、诃子肉、香附子、藿香、苏合香、小茴香、桂皮</w:t>
      </w:r>
      <w:r>
        <w:rPr>
          <w:rFonts w:hint="eastAsia" w:ascii="Times New Roman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100g，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五灵脂、元胡</w:t>
      </w:r>
      <w:r>
        <w:rPr>
          <w:rFonts w:hint="eastAsia" w:ascii="Times New Roman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50g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共为细末，蜜丸，每丸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6g，1次1丸，温水服下。</w:t>
      </w:r>
    </w:p>
    <w:p w14:paraId="43E06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7F24485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</w:t>
      </w:r>
      <w:r>
        <w:rPr>
          <w:rFonts w:ascii="Times New Roman" w:hAnsi="Times New Roman" w:cs="Times New Roman"/>
          <w:sz w:val="24"/>
          <w:szCs w:val="24"/>
          <w:highlight w:val="none"/>
        </w:rPr>
        <w:t>4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zh-CN"/>
        </w:rPr>
        <w:t>气虚血瘀证</w:t>
      </w:r>
    </w:p>
    <w:p w14:paraId="4F50A2DB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2.1.1.4.1</w:t>
      </w:r>
      <w:r>
        <w:rPr>
          <w:rFonts w:hint="eastAsia" w:ascii="Times New Roman" w:hAnsi="Times New Roman" w:cs="Times New Roman"/>
          <w:bCs/>
          <w:sz w:val="24"/>
          <w:szCs w:val="24"/>
          <w:highlight w:val="none"/>
        </w:rPr>
        <w:t>太阳人</w:t>
      </w:r>
    </w:p>
    <w:p w14:paraId="402A5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治法：补虚祛瘀，活血通络。</w:t>
      </w:r>
    </w:p>
    <w:p w14:paraId="10428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方药：五加皮壮脊汤（《东医寿世保元》）。</w:t>
      </w:r>
      <w:r>
        <w:rPr>
          <w:rFonts w:hint="eastAsia"/>
          <w:sz w:val="24"/>
          <w:szCs w:val="24"/>
        </w:rPr>
        <w:t>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3ECF94CE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五加皮、木瓜、青松节、葡萄根、芦根、樱桃肉、荞麦米半匙。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24705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B2BC8F2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2.1.1.4.2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太阴人</w:t>
      </w:r>
    </w:p>
    <w:p w14:paraId="5FA98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治法：补肺祛瘀，活血通络。</w:t>
      </w:r>
    </w:p>
    <w:p w14:paraId="7D361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方药：祛风解语散（《东医四象新编》）。</w:t>
      </w:r>
      <w:r>
        <w:rPr>
          <w:rFonts w:hint="eastAsia"/>
          <w:sz w:val="24"/>
          <w:szCs w:val="24"/>
        </w:rPr>
        <w:t>根据病情调方或遵医嘱。</w:t>
      </w:r>
    </w:p>
    <w:p w14:paraId="310ADC02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升麻、白芷、麻黄、藁本、菊花各等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分研末。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温水服下。</w:t>
      </w:r>
    </w:p>
    <w:p w14:paraId="6AD82583">
      <w:pPr>
        <w:pStyle w:val="2"/>
      </w:pPr>
    </w:p>
    <w:p w14:paraId="6431F9EB">
      <w:pPr>
        <w:spacing w:line="360" w:lineRule="auto"/>
        <w:ind w:firstLineChars="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2.1.1.4.3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少阳人</w:t>
      </w:r>
    </w:p>
    <w:p w14:paraId="7F746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治法：解肾祛瘀，活血通络。</w:t>
      </w:r>
      <w:r>
        <w:rPr>
          <w:rFonts w:hint="eastAsia"/>
          <w:sz w:val="24"/>
          <w:szCs w:val="24"/>
        </w:rPr>
        <w:t>根据病情调方或遵医嘱。</w:t>
      </w:r>
    </w:p>
    <w:p w14:paraId="3FFB2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方药：归肾解语散（《东医四象新编》）。</w:t>
      </w:r>
    </w:p>
    <w:p w14:paraId="3D81B81B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荆芥、防风、羌活、独活、薄荷。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少许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置床下头侧，熏鼻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33AE7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6ADAA62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2.1.1.4.4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少阴人</w:t>
      </w:r>
    </w:p>
    <w:p w14:paraId="3F2F5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治法：消脾祛瘀，活血通络。</w:t>
      </w:r>
    </w:p>
    <w:p w14:paraId="5A7E8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方药：寿脾解语汤（《东医四象新编》）。</w:t>
      </w:r>
      <w:r>
        <w:rPr>
          <w:rFonts w:hint="eastAsia"/>
          <w:sz w:val="24"/>
          <w:szCs w:val="24"/>
        </w:rPr>
        <w:t>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6770AD8D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白何首乌、紫苏叶、天南星、黄芪、桂枝。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  <w:bookmarkStart w:id="25" w:name="_Toc219841224"/>
      <w:bookmarkStart w:id="26" w:name="_Toc29599"/>
    </w:p>
    <w:p w14:paraId="215E25AD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28FE33C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2.2外治疗法</w:t>
      </w:r>
      <w:bookmarkEnd w:id="25"/>
      <w:bookmarkEnd w:id="26"/>
    </w:p>
    <w:p w14:paraId="3E3E0979">
      <w:pPr>
        <w:pStyle w:val="5"/>
        <w:rPr>
          <w:sz w:val="21"/>
          <w:szCs w:val="21"/>
          <w:highlight w:val="yellow"/>
        </w:rPr>
      </w:pPr>
      <w:bookmarkStart w:id="27" w:name="_Toc28379"/>
      <w:r>
        <w:rPr>
          <w:rFonts w:hint="eastAsia"/>
          <w:sz w:val="21"/>
          <w:szCs w:val="21"/>
          <w:highlight w:val="none"/>
        </w:rPr>
        <w:t>2.</w:t>
      </w:r>
      <w:r>
        <w:rPr>
          <w:rFonts w:hint="eastAsia"/>
          <w:sz w:val="21"/>
          <w:szCs w:val="21"/>
          <w:highlight w:val="none"/>
          <w:lang w:val="en-US" w:eastAsia="zh-CN"/>
        </w:rPr>
        <w:t>2</w:t>
      </w:r>
      <w:r>
        <w:rPr>
          <w:rFonts w:hint="eastAsia"/>
          <w:sz w:val="21"/>
          <w:szCs w:val="21"/>
          <w:highlight w:val="none"/>
        </w:rPr>
        <w:t>.1</w:t>
      </w:r>
      <w:r>
        <w:rPr>
          <w:rFonts w:hint="eastAsia"/>
          <w:sz w:val="21"/>
          <w:szCs w:val="21"/>
          <w:highlight w:val="none"/>
          <w:lang w:eastAsia="zh-CN"/>
        </w:rPr>
        <w:t>太极针刺</w:t>
      </w:r>
      <w:r>
        <w:rPr>
          <w:rFonts w:hint="eastAsia"/>
          <w:sz w:val="21"/>
          <w:szCs w:val="21"/>
          <w:highlight w:val="none"/>
        </w:rPr>
        <w:t>法（</w:t>
      </w:r>
      <w:r>
        <w:rPr>
          <w:rFonts w:ascii="Times New Roman" w:hAnsi="Times New Roman" w:cs="Times New Roman"/>
          <w:sz w:val="21"/>
          <w:szCs w:val="21"/>
          <w:highlight w:val="none"/>
        </w:rPr>
        <w:t>DB22/T 2748-2017</w:t>
      </w:r>
      <w:r>
        <w:rPr>
          <w:rFonts w:hint="eastAsia"/>
          <w:sz w:val="21"/>
          <w:szCs w:val="21"/>
          <w:highlight w:val="none"/>
        </w:rPr>
        <w:t>）</w:t>
      </w:r>
      <w:bookmarkEnd w:id="27"/>
    </w:p>
    <w:p w14:paraId="73B54983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  <w:lang w:val="zh-CN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2.2.1.1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主穴：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zh-CN"/>
        </w:rPr>
        <w:t>内关、水沟、三阴交、极泉、尺泽、委中、颊车、地仓、听会、肩髃、曲池、手三里、绝骨、环跳、阳陵泉、阴陵泉、风市；有意识障碍者用三棱针点刺出血十二井穴。</w:t>
      </w:r>
    </w:p>
    <w:p w14:paraId="1AE6FB56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2.2.1.2</w:t>
      </w:r>
      <w:r>
        <w:rPr>
          <w:rFonts w:hint="eastAsia"/>
          <w:sz w:val="24"/>
          <w:szCs w:val="24"/>
          <w:highlight w:val="none"/>
        </w:rPr>
        <w:t>配穴</w:t>
      </w:r>
    </w:p>
    <w:p w14:paraId="42BCD577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2.2.1.2.1</w:t>
      </w:r>
      <w:r>
        <w:rPr>
          <w:rFonts w:hint="eastAsia"/>
          <w:sz w:val="24"/>
          <w:szCs w:val="24"/>
          <w:highlight w:val="none"/>
        </w:rPr>
        <w:t>太阳人</w:t>
      </w:r>
    </w:p>
    <w:p w14:paraId="40FE16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治法：补肝泻肺，通络。</w:t>
      </w:r>
    </w:p>
    <w:p w14:paraId="0DC13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取穴：鱼际、太渊、太冲。</w:t>
      </w:r>
    </w:p>
    <w:p w14:paraId="4D80A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方法：用捻转手技补泻法泻鱼际、太渊穴，补太冲穴。</w:t>
      </w:r>
    </w:p>
    <w:p w14:paraId="5F3BD0E1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bCs/>
          <w:sz w:val="24"/>
          <w:szCs w:val="24"/>
          <w:highlight w:val="none"/>
          <w:lang w:val="en-US" w:eastAsia="zh-CN"/>
        </w:rPr>
        <w:t>2.2.1.2.2</w:t>
      </w:r>
      <w:r>
        <w:rPr>
          <w:rFonts w:hint="eastAsia"/>
          <w:sz w:val="24"/>
          <w:szCs w:val="24"/>
          <w:highlight w:val="none"/>
        </w:rPr>
        <w:t>太阴人</w:t>
      </w:r>
    </w:p>
    <w:p w14:paraId="78833D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治法：补肺泻肝，祛痰通络。</w:t>
      </w:r>
    </w:p>
    <w:p w14:paraId="26927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取穴：太渊、尺泽、太冲、丰隆。</w:t>
      </w:r>
    </w:p>
    <w:p w14:paraId="31080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方法：用捻转手技补泻法补太渊、泻太冲。</w:t>
      </w:r>
    </w:p>
    <w:p w14:paraId="6303C626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bCs/>
          <w:sz w:val="24"/>
          <w:szCs w:val="24"/>
          <w:highlight w:val="none"/>
          <w:lang w:val="en-US" w:eastAsia="zh-CN"/>
        </w:rPr>
        <w:t>2.2.1.2.3</w:t>
      </w:r>
      <w:r>
        <w:rPr>
          <w:rFonts w:hint="eastAsia"/>
          <w:sz w:val="24"/>
          <w:szCs w:val="24"/>
          <w:highlight w:val="none"/>
        </w:rPr>
        <w:t>少阳人</w:t>
      </w:r>
    </w:p>
    <w:p w14:paraId="6D151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治法：泻脾火，补肾，通络。</w:t>
      </w:r>
    </w:p>
    <w:p w14:paraId="0EDF5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取穴：太白、太溪。</w:t>
      </w:r>
    </w:p>
    <w:p w14:paraId="7F66B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方法：用捻转手技补泻法泻太白、补太溪。</w:t>
      </w:r>
    </w:p>
    <w:p w14:paraId="103A1F81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2.2.1.2.4</w:t>
      </w:r>
      <w:r>
        <w:rPr>
          <w:rFonts w:hint="eastAsia"/>
          <w:sz w:val="24"/>
          <w:szCs w:val="24"/>
          <w:highlight w:val="none"/>
        </w:rPr>
        <w:t>少阴人</w:t>
      </w:r>
    </w:p>
    <w:p w14:paraId="39DFC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治法：益气健脾，通络。</w:t>
      </w:r>
    </w:p>
    <w:p w14:paraId="0203B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取穴：足三里、合谷、气海、关元。</w:t>
      </w:r>
    </w:p>
    <w:p w14:paraId="6F055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方法：用捻转手技补泻法补足三里、泻合谷，取平补平泻法刺气海、关元穴。</w:t>
      </w:r>
    </w:p>
    <w:p w14:paraId="0C890DF3">
      <w:pPr>
        <w:pStyle w:val="13"/>
        <w:spacing w:line="360" w:lineRule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2.2.1.3治疗时间与疗程</w:t>
      </w:r>
    </w:p>
    <w:p w14:paraId="22E78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</w:t>
      </w:r>
      <w:bookmarkStart w:id="28" w:name="_Toc14270"/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朝医太极针刺法操作规范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》</w:t>
      </w:r>
      <w:bookmarkEnd w:id="28"/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操作，每日一次，每次留针30分钟，15天为一疗程，可根据病情连续治疗2-3疗程。</w:t>
      </w:r>
    </w:p>
    <w:p w14:paraId="5AD5CF54">
      <w:pPr>
        <w:pStyle w:val="13"/>
        <w:spacing w:line="360" w:lineRule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2.2.1.4注意事项：</w:t>
      </w:r>
    </w:p>
    <w:p w14:paraId="394CB1B7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kern w:val="0"/>
          <w:sz w:val="24"/>
          <w:szCs w:val="24"/>
          <w:highlight w:val="none"/>
          <w:lang w:val="en-US" w:eastAsia="zh-CN"/>
        </w:rPr>
        <w:t>2.2.1.4.1</w:t>
      </w:r>
      <w:r>
        <w:rPr>
          <w:rFonts w:hint="eastAsia" w:ascii="Times New Roman" w:hAnsi="Times New Roman" w:cs="Times New Roman"/>
          <w:kern w:val="0"/>
          <w:sz w:val="24"/>
          <w:szCs w:val="24"/>
          <w:highlight w:val="none"/>
        </w:rPr>
        <w:t>废针处理应符合《医疗垃圾管理办法》的规定。</w:t>
      </w:r>
    </w:p>
    <w:p w14:paraId="5E407C72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kern w:val="0"/>
          <w:sz w:val="24"/>
          <w:szCs w:val="24"/>
          <w:highlight w:val="none"/>
          <w:lang w:val="en-US" w:eastAsia="zh-CN"/>
        </w:rPr>
        <w:t>2.2.1.4.2</w:t>
      </w:r>
      <w:r>
        <w:rPr>
          <w:rFonts w:hint="eastAsia" w:ascii="Times New Roman" w:hAnsi="Times New Roman" w:cs="Times New Roman"/>
          <w:kern w:val="0"/>
          <w:sz w:val="24"/>
          <w:szCs w:val="24"/>
          <w:highlight w:val="none"/>
        </w:rPr>
        <w:t>施术过程中，如某些刺法需要触及针体时，应当用消毒棉球作间隔物，医者手指不宜直接接触针体。</w:t>
      </w:r>
    </w:p>
    <w:p w14:paraId="7D80921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kern w:val="0"/>
          <w:sz w:val="24"/>
          <w:szCs w:val="24"/>
          <w:highlight w:val="none"/>
          <w:lang w:val="en-US" w:eastAsia="zh-CN"/>
        </w:rPr>
        <w:t>2.2.1.4.3</w:t>
      </w:r>
      <w:r>
        <w:rPr>
          <w:rFonts w:hint="eastAsia" w:ascii="Times New Roman" w:hAnsi="Times New Roman" w:cs="Times New Roman"/>
          <w:kern w:val="0"/>
          <w:sz w:val="24"/>
          <w:szCs w:val="24"/>
          <w:highlight w:val="none"/>
        </w:rPr>
        <w:t>行针时，提插幅度和捻转角度的大小、频率的快慢、时间的长短等，应根据患者的具体情况和医者所要达到的目的而灵活掌握。</w:t>
      </w:r>
    </w:p>
    <w:p w14:paraId="7A7574B7">
      <w:pPr>
        <w:spacing w:line="360" w:lineRule="auto"/>
        <w:jc w:val="left"/>
        <w:rPr>
          <w:rFonts w:ascii="Times New Roman" w:hAnsi="Times New Roman" w:eastAsia="黑体" w:cs="Times New Roman"/>
          <w:sz w:val="24"/>
          <w:szCs w:val="24"/>
          <w:highlight w:val="none"/>
        </w:rPr>
      </w:pPr>
      <w:r>
        <w:rPr>
          <w:rFonts w:hint="eastAsia" w:eastAsia="黑体" w:cs="Times New Roman"/>
          <w:kern w:val="0"/>
          <w:sz w:val="24"/>
          <w:szCs w:val="24"/>
          <w:highlight w:val="none"/>
          <w:lang w:val="en-US" w:eastAsia="zh-CN"/>
        </w:rPr>
        <w:t>2.2.1.5</w:t>
      </w:r>
      <w:r>
        <w:rPr>
          <w:rFonts w:ascii="Times New Roman" w:hAnsi="Times New Roman" w:eastAsia="黑体" w:cs="Times New Roman"/>
          <w:kern w:val="0"/>
          <w:sz w:val="24"/>
          <w:szCs w:val="24"/>
          <w:highlight w:val="none"/>
        </w:rPr>
        <w:t xml:space="preserve"> </w:t>
      </w:r>
      <w:r>
        <w:rPr>
          <w:rFonts w:hint="eastAsia" w:ascii="Times New Roman" w:hAnsi="Times New Roman" w:eastAsia="黑体" w:cs="Times New Roman"/>
          <w:kern w:val="0"/>
          <w:sz w:val="24"/>
          <w:szCs w:val="24"/>
          <w:highlight w:val="none"/>
        </w:rPr>
        <w:t>禁忌</w:t>
      </w:r>
    </w:p>
    <w:p w14:paraId="1A57BCFE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kern w:val="0"/>
          <w:sz w:val="24"/>
          <w:szCs w:val="24"/>
          <w:highlight w:val="none"/>
          <w:lang w:val="en-US" w:eastAsia="zh-CN"/>
        </w:rPr>
        <w:t>2.2.1.5.1</w:t>
      </w:r>
      <w:r>
        <w:rPr>
          <w:rFonts w:hint="eastAsia" w:ascii="Times New Roman" w:hAnsi="Times New Roman" w:cs="Times New Roman"/>
          <w:kern w:val="0"/>
          <w:sz w:val="24"/>
          <w:szCs w:val="24"/>
          <w:highlight w:val="none"/>
        </w:rPr>
        <w:t>饥饿、饱食、醉酒、大怒、大惊、过度疲劳、精神紧张者，不宜立即进行针刺；体质虚弱、气血亏损者，其针感不宜过重，应尽量采取卧位行针。</w:t>
      </w:r>
    </w:p>
    <w:p w14:paraId="5EE57AC4">
      <w:pPr>
        <w:spacing w:line="360" w:lineRule="auto"/>
        <w:jc w:val="left"/>
        <w:rPr>
          <w:rFonts w:ascii="Times New Roman" w:hAnsi="Times New Roman" w:eastAsia="黑体" w:cs="Times New Roman"/>
          <w:kern w:val="0"/>
          <w:sz w:val="24"/>
          <w:szCs w:val="24"/>
          <w:highlight w:val="none"/>
        </w:rPr>
      </w:pPr>
      <w:r>
        <w:rPr>
          <w:rFonts w:hint="eastAsia" w:cs="Times New Roman"/>
          <w:kern w:val="0"/>
          <w:sz w:val="24"/>
          <w:szCs w:val="24"/>
          <w:highlight w:val="none"/>
          <w:lang w:val="en-US" w:eastAsia="zh-CN"/>
        </w:rPr>
        <w:t>2.2.1.5.2</w:t>
      </w:r>
      <w:r>
        <w:rPr>
          <w:rFonts w:hint="eastAsia" w:ascii="Times New Roman" w:hAnsi="Times New Roman" w:cs="Times New Roman"/>
          <w:kern w:val="0"/>
          <w:sz w:val="24"/>
          <w:szCs w:val="24"/>
          <w:highlight w:val="none"/>
        </w:rPr>
        <w:t>针刺时应避开大血管，腧穴深部有重要脏器时应掌握针刺深度，切不可伤及脏器。</w:t>
      </w:r>
      <w:r>
        <w:rPr>
          <w:rFonts w:ascii="Times New Roman" w:hAnsi="Times New Roman" w:eastAsia="黑体" w:cs="Times New Roman"/>
          <w:kern w:val="0"/>
          <w:sz w:val="24"/>
          <w:szCs w:val="24"/>
          <w:highlight w:val="none"/>
        </w:rPr>
        <w:t xml:space="preserve"> </w:t>
      </w:r>
    </w:p>
    <w:p w14:paraId="54BD87D4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eastAsia="黑体" w:cs="Times New Roman"/>
          <w:kern w:val="0"/>
          <w:sz w:val="24"/>
          <w:szCs w:val="24"/>
          <w:highlight w:val="none"/>
          <w:lang w:val="en-US" w:eastAsia="zh-CN"/>
        </w:rPr>
        <w:t>2.2.1.5.3</w:t>
      </w:r>
      <w:r>
        <w:rPr>
          <w:rFonts w:hint="eastAsia" w:ascii="Times New Roman" w:hAnsi="Times New Roman" w:cs="Times New Roman"/>
          <w:kern w:val="0"/>
          <w:sz w:val="24"/>
          <w:szCs w:val="24"/>
          <w:highlight w:val="none"/>
        </w:rPr>
        <w:t>皮肤有感染、溃疡、瘢痕或肿瘤部位，除特殊治疗需要外，均不应在患部直接针刺。</w:t>
      </w:r>
    </w:p>
    <w:p w14:paraId="3410358E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kern w:val="0"/>
          <w:sz w:val="24"/>
          <w:szCs w:val="24"/>
          <w:highlight w:val="none"/>
          <w:lang w:val="en-US" w:eastAsia="zh-CN"/>
        </w:rPr>
        <w:t>2.2.1.5.4</w:t>
      </w:r>
      <w:r>
        <w:rPr>
          <w:rFonts w:hint="eastAsia" w:ascii="Times New Roman" w:hAnsi="Times New Roman" w:cs="Times New Roman"/>
          <w:kern w:val="0"/>
          <w:sz w:val="24"/>
          <w:szCs w:val="24"/>
          <w:highlight w:val="none"/>
        </w:rPr>
        <w:t>本针法取穴多为肘、膝以下部位，刺激量大，不适宜于孕妇。</w:t>
      </w:r>
    </w:p>
    <w:p w14:paraId="4AD99A01">
      <w:pPr>
        <w:pStyle w:val="13"/>
        <w:spacing w:line="360" w:lineRule="auto"/>
        <w:rPr>
          <w:rFonts w:hint="eastAsia" w:ascii="Times New Roman" w:hAnsi="Times New Roman" w:cs="Times New Roman"/>
          <w:kern w:val="0"/>
          <w:sz w:val="24"/>
          <w:szCs w:val="24"/>
          <w:highlight w:val="none"/>
        </w:rPr>
      </w:pPr>
      <w:r>
        <w:rPr>
          <w:rFonts w:hint="eastAsia" w:cs="Times New Roman"/>
          <w:kern w:val="0"/>
          <w:sz w:val="24"/>
          <w:szCs w:val="24"/>
          <w:highlight w:val="none"/>
          <w:lang w:val="en-US" w:eastAsia="zh-CN"/>
        </w:rPr>
        <w:t>2.2.1.5.5</w:t>
      </w:r>
      <w:r>
        <w:rPr>
          <w:rFonts w:hint="eastAsia" w:ascii="Times New Roman" w:hAnsi="Times New Roman" w:cs="Times New Roman"/>
          <w:kern w:val="0"/>
          <w:sz w:val="24"/>
          <w:szCs w:val="24"/>
          <w:highlight w:val="none"/>
        </w:rPr>
        <w:t>有凝血机制障碍的患者，应禁用针刺。</w:t>
      </w:r>
    </w:p>
    <w:p w14:paraId="1A35DAA0">
      <w:pPr>
        <w:pStyle w:val="5"/>
        <w:rPr>
          <w:sz w:val="21"/>
          <w:szCs w:val="21"/>
          <w:highlight w:val="none"/>
        </w:rPr>
      </w:pPr>
      <w:bookmarkStart w:id="29" w:name="_Toc26428"/>
      <w:r>
        <w:rPr>
          <w:rFonts w:hint="eastAsia"/>
          <w:sz w:val="21"/>
          <w:szCs w:val="21"/>
          <w:highlight w:val="none"/>
        </w:rPr>
        <w:t>2.</w:t>
      </w:r>
      <w:r>
        <w:rPr>
          <w:rFonts w:hint="eastAsia"/>
          <w:sz w:val="21"/>
          <w:szCs w:val="21"/>
          <w:highlight w:val="none"/>
          <w:lang w:val="en-US" w:eastAsia="zh-CN"/>
        </w:rPr>
        <w:t>2</w:t>
      </w:r>
      <w:r>
        <w:rPr>
          <w:rFonts w:hint="eastAsia"/>
          <w:sz w:val="21"/>
          <w:szCs w:val="21"/>
          <w:highlight w:val="none"/>
        </w:rPr>
        <w:t>.</w:t>
      </w:r>
      <w:r>
        <w:rPr>
          <w:rFonts w:hint="eastAsia"/>
          <w:sz w:val="21"/>
          <w:szCs w:val="21"/>
          <w:highlight w:val="none"/>
          <w:lang w:val="en-US" w:eastAsia="zh-CN"/>
        </w:rPr>
        <w:t>2</w:t>
      </w:r>
      <w:r>
        <w:rPr>
          <w:rFonts w:hint="eastAsia"/>
          <w:sz w:val="21"/>
          <w:szCs w:val="21"/>
          <w:highlight w:val="none"/>
          <w:lang w:eastAsia="zh-CN"/>
        </w:rPr>
        <w:t>朝医灸法</w:t>
      </w:r>
      <w:bookmarkEnd w:id="29"/>
    </w:p>
    <w:p w14:paraId="34BD95A3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2.2.2.1</w:t>
      </w:r>
      <w:r>
        <w:rPr>
          <w:rFonts w:hint="eastAsia"/>
          <w:sz w:val="24"/>
          <w:szCs w:val="24"/>
          <w:highlight w:val="none"/>
        </w:rPr>
        <w:t>主穴</w:t>
      </w:r>
    </w:p>
    <w:p w14:paraId="73DBC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百会、肩髃、风市、绝骨、曲池、列缺、合谷、委中、照海、支沟。患左灸右，患右灸左。</w:t>
      </w:r>
    </w:p>
    <w:p w14:paraId="157B79E0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2.2.2.2</w:t>
      </w:r>
      <w:r>
        <w:rPr>
          <w:rFonts w:hint="eastAsia"/>
          <w:sz w:val="24"/>
          <w:szCs w:val="24"/>
          <w:highlight w:val="none"/>
        </w:rPr>
        <w:t>配穴</w:t>
      </w:r>
    </w:p>
    <w:p w14:paraId="3E9C3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太阳人、少阳人酌情使用。</w:t>
      </w:r>
    </w:p>
    <w:p w14:paraId="33C6F322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宋体"/>
          <w:sz w:val="24"/>
          <w:szCs w:val="24"/>
          <w:highlight w:val="none"/>
          <w:lang w:val="en-US" w:eastAsia="zh-CN"/>
        </w:rPr>
        <w:t>2.2.2.2.1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太阳人</w:t>
      </w:r>
    </w:p>
    <w:p w14:paraId="6B93E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治疗原则：补肝，温通经络。</w:t>
      </w:r>
    </w:p>
    <w:p w14:paraId="6B5EF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取穴：太冲。</w:t>
      </w:r>
    </w:p>
    <w:p w14:paraId="6854E1FD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bCs/>
          <w:sz w:val="24"/>
          <w:szCs w:val="24"/>
          <w:highlight w:val="none"/>
          <w:lang w:val="en-US" w:eastAsia="zh-CN"/>
        </w:rPr>
        <w:t>2.2.2.2.2</w:t>
      </w:r>
      <w:r>
        <w:rPr>
          <w:rFonts w:hint="eastAsia"/>
          <w:sz w:val="24"/>
          <w:szCs w:val="24"/>
          <w:highlight w:val="none"/>
        </w:rPr>
        <w:t>太阴人</w:t>
      </w:r>
    </w:p>
    <w:p w14:paraId="1029A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治疗原则：补肺，温通经络。</w:t>
      </w:r>
    </w:p>
    <w:p w14:paraId="0D584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取穴：太渊。</w:t>
      </w:r>
    </w:p>
    <w:p w14:paraId="6F3F393F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2.2.2.2.3</w:t>
      </w:r>
      <w:r>
        <w:rPr>
          <w:rFonts w:hint="eastAsia"/>
          <w:sz w:val="24"/>
          <w:szCs w:val="24"/>
          <w:highlight w:val="none"/>
        </w:rPr>
        <w:t>少阳人</w:t>
      </w:r>
    </w:p>
    <w:p w14:paraId="4AAB9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治疗原则：补肾，温通经络。</w:t>
      </w:r>
    </w:p>
    <w:p w14:paraId="53249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取穴：太溪。</w:t>
      </w:r>
    </w:p>
    <w:p w14:paraId="3CCF3277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2.2.2.2.4</w:t>
      </w:r>
      <w:r>
        <w:rPr>
          <w:rFonts w:hint="eastAsia"/>
          <w:sz w:val="24"/>
          <w:szCs w:val="24"/>
          <w:highlight w:val="none"/>
        </w:rPr>
        <w:t>少阴人</w:t>
      </w:r>
    </w:p>
    <w:p w14:paraId="7F502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治疗原则：益气，温通经络。</w:t>
      </w:r>
    </w:p>
    <w:p w14:paraId="2B53E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取穴：足三里。</w:t>
      </w:r>
    </w:p>
    <w:p w14:paraId="3EA37935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2.2.2.3</w:t>
      </w:r>
      <w:r>
        <w:rPr>
          <w:rFonts w:hint="eastAsia"/>
          <w:sz w:val="24"/>
          <w:szCs w:val="24"/>
          <w:highlight w:val="none"/>
        </w:rPr>
        <w:t>具体操作</w:t>
      </w:r>
    </w:p>
    <w:p w14:paraId="4BA04C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取新鲜老姜一块，沿生姜纤维纵向切取，切成厚度约2~3cm，直径约1cm，中间泳三棱针穿刺数孔，将姜片放置在施灸部位，再把艾柱放在其上点燃。将艾柱烧尽，更换艾柱。每次灸5~10壮，以局部潮红为度。</w:t>
      </w:r>
    </w:p>
    <w:p w14:paraId="014BBB00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2.2.2.4</w:t>
      </w:r>
      <w:r>
        <w:rPr>
          <w:rFonts w:hint="eastAsia"/>
          <w:sz w:val="24"/>
          <w:szCs w:val="24"/>
          <w:highlight w:val="none"/>
        </w:rPr>
        <w:t>注意事项</w:t>
      </w:r>
    </w:p>
    <w:p w14:paraId="1B9445FA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2.2.2.4.1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应要必须选用现切新鲜的老姜片施灸，不能用干姜或嫩姜。</w:t>
      </w:r>
    </w:p>
    <w:p w14:paraId="318EEC87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2.2.2.4.2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根据病症和施灸部位定姜片的厚薄。</w:t>
      </w:r>
    </w:p>
    <w:p w14:paraId="4FE2BA45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2.2.2.4.3</w:t>
      </w:r>
      <w:r>
        <w:rPr>
          <w:rFonts w:hint="eastAsia"/>
          <w:sz w:val="24"/>
          <w:szCs w:val="24"/>
          <w:highlight w:val="none"/>
        </w:rPr>
        <w:t>在施灸过程中若灼伤皮肤气泡，须妥善处理，避免感染。</w:t>
      </w:r>
    </w:p>
    <w:p w14:paraId="12535609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2.2.2.5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治疗时间</w:t>
      </w:r>
      <w:r>
        <w:rPr>
          <w:rFonts w:hint="eastAsia" w:cs="Times New Roman"/>
          <w:sz w:val="24"/>
          <w:szCs w:val="24"/>
          <w:highlight w:val="none"/>
          <w:lang w:eastAsia="zh-CN"/>
        </w:rPr>
        <w:t>与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疗程</w:t>
      </w:r>
    </w:p>
    <w:p w14:paraId="54739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每日1次，14日为一个疗程。</w:t>
      </w:r>
    </w:p>
    <w:p w14:paraId="73509F1C">
      <w:pPr>
        <w:pStyle w:val="5"/>
        <w:rPr>
          <w:rFonts w:hint="default" w:eastAsia="Malgun Gothic"/>
          <w:sz w:val="21"/>
          <w:szCs w:val="21"/>
          <w:highlight w:val="yellow"/>
          <w:lang w:val="en-US" w:eastAsia="ko-KR"/>
        </w:rPr>
      </w:pPr>
      <w:bookmarkStart w:id="30" w:name="_Toc8777"/>
      <w:r>
        <w:rPr>
          <w:rFonts w:hint="eastAsia"/>
          <w:sz w:val="21"/>
          <w:szCs w:val="21"/>
          <w:highlight w:val="none"/>
        </w:rPr>
        <w:t>2.</w:t>
      </w:r>
      <w:r>
        <w:rPr>
          <w:rFonts w:hint="eastAsia"/>
          <w:sz w:val="21"/>
          <w:szCs w:val="21"/>
          <w:highlight w:val="none"/>
          <w:lang w:val="en-US" w:eastAsia="zh-CN"/>
        </w:rPr>
        <w:t>2</w:t>
      </w:r>
      <w:r>
        <w:rPr>
          <w:rFonts w:hint="eastAsia"/>
          <w:sz w:val="21"/>
          <w:szCs w:val="21"/>
          <w:highlight w:val="none"/>
        </w:rPr>
        <w:t>.</w:t>
      </w:r>
      <w:r>
        <w:rPr>
          <w:rFonts w:hint="eastAsia"/>
          <w:sz w:val="21"/>
          <w:szCs w:val="21"/>
          <w:highlight w:val="none"/>
          <w:lang w:val="en-US" w:eastAsia="zh-CN"/>
        </w:rPr>
        <w:t>3</w:t>
      </w:r>
      <w:r>
        <w:rPr>
          <w:rFonts w:hint="eastAsia"/>
          <w:sz w:val="21"/>
          <w:szCs w:val="21"/>
          <w:highlight w:val="none"/>
          <w:lang w:eastAsia="zh-CN"/>
        </w:rPr>
        <w:t>药枕疗法（</w:t>
      </w:r>
      <w:r>
        <w:rPr>
          <w:sz w:val="21"/>
          <w:szCs w:val="21"/>
          <w:highlight w:val="none"/>
        </w:rPr>
        <w:t>CYBZ-2016-02</w:t>
      </w:r>
      <w:r>
        <w:rPr>
          <w:rFonts w:hint="eastAsia"/>
          <w:sz w:val="21"/>
          <w:szCs w:val="21"/>
          <w:highlight w:val="none"/>
          <w:lang w:eastAsia="zh-CN"/>
        </w:rPr>
        <w:t>）</w:t>
      </w:r>
      <w:bookmarkEnd w:id="30"/>
    </w:p>
    <w:p w14:paraId="7437006B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2.2.3.1</w:t>
      </w:r>
      <w:r>
        <w:rPr>
          <w:rFonts w:hint="eastAsia"/>
          <w:sz w:val="24"/>
          <w:szCs w:val="24"/>
          <w:highlight w:val="none"/>
        </w:rPr>
        <w:t>药物配伍</w:t>
      </w:r>
    </w:p>
    <w:p w14:paraId="1706A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根据四象人的脏局特点选药物。</w:t>
      </w:r>
    </w:p>
    <w:p w14:paraId="45A3A5C1">
      <w:pPr>
        <w:pStyle w:val="13"/>
        <w:spacing w:line="360" w:lineRule="auto"/>
        <w:rPr>
          <w:rFonts w:hint="eastAsia" w:eastAsia="宋体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2.2.3.1.1</w:t>
      </w:r>
      <w:r>
        <w:rPr>
          <w:rFonts w:hint="eastAsia"/>
          <w:sz w:val="24"/>
          <w:szCs w:val="24"/>
          <w:highlight w:val="none"/>
        </w:rPr>
        <w:t>太阳人</w:t>
      </w:r>
    </w:p>
    <w:p w14:paraId="253BA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荞麦、五加皮各等分，共研末，装入到枕芯。</w:t>
      </w:r>
    </w:p>
    <w:p w14:paraId="1C07BB0B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bCs/>
          <w:sz w:val="24"/>
          <w:szCs w:val="24"/>
          <w:highlight w:val="none"/>
          <w:lang w:val="en-US" w:eastAsia="zh-CN"/>
        </w:rPr>
        <w:t>2.2.3.1.2</w:t>
      </w:r>
      <w:r>
        <w:rPr>
          <w:rFonts w:hint="eastAsia"/>
          <w:sz w:val="24"/>
          <w:szCs w:val="24"/>
          <w:highlight w:val="none"/>
        </w:rPr>
        <w:t>太阴人</w:t>
      </w:r>
    </w:p>
    <w:p w14:paraId="56E5F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黄芩、石菖蒲、薏苡仁、杏仁各等分，共研末，装入到枕芯。</w:t>
      </w:r>
    </w:p>
    <w:p w14:paraId="2FCE68E8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bCs/>
          <w:sz w:val="24"/>
          <w:szCs w:val="24"/>
          <w:highlight w:val="none"/>
          <w:lang w:val="en-US" w:eastAsia="zh-CN"/>
        </w:rPr>
        <w:t>2.2.3.1.3</w:t>
      </w:r>
      <w:r>
        <w:rPr>
          <w:rFonts w:hint="eastAsia"/>
          <w:sz w:val="24"/>
          <w:szCs w:val="24"/>
          <w:highlight w:val="none"/>
        </w:rPr>
        <w:t>少阳人</w:t>
      </w:r>
    </w:p>
    <w:p w14:paraId="47B8C00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  <w:t>茯苓、麦芽、干地黄、瓜蒌仁各等分，共研末，装入到枕</w:t>
      </w:r>
      <w:r>
        <w:rPr>
          <w:rFonts w:hint="eastAsia"/>
          <w:sz w:val="24"/>
          <w:szCs w:val="24"/>
          <w:highlight w:val="none"/>
        </w:rPr>
        <w:t>芯。</w:t>
      </w:r>
    </w:p>
    <w:p w14:paraId="489A6DF3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2.2.3.1.4</w:t>
      </w:r>
      <w:r>
        <w:rPr>
          <w:rFonts w:hint="eastAsia"/>
          <w:sz w:val="24"/>
          <w:szCs w:val="24"/>
          <w:highlight w:val="none"/>
        </w:rPr>
        <w:t>少阴人</w:t>
      </w:r>
    </w:p>
    <w:p w14:paraId="0D01A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川芎、陈皮、桃仁、甘草各等分，共研末，装入到枕芯。</w:t>
      </w:r>
    </w:p>
    <w:p w14:paraId="1176598F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2.2.3.2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具体操作</w:t>
      </w:r>
    </w:p>
    <w:p w14:paraId="54A11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采取舒适体位，使药物能贴近皮肤，将药枕放在患者枕头上面。</w:t>
      </w:r>
    </w:p>
    <w:p w14:paraId="31378188">
      <w:pPr>
        <w:pStyle w:val="26"/>
        <w:numPr>
          <w:ilvl w:val="0"/>
          <w:numId w:val="0"/>
        </w:numPr>
        <w:spacing w:beforeLines="50" w:afterLines="50" w:line="360" w:lineRule="auto"/>
        <w:rPr>
          <w:rFonts w:hint="eastAsia" w:ascii="Times New Roman"/>
          <w:sz w:val="24"/>
          <w:szCs w:val="24"/>
          <w:highlight w:val="none"/>
        </w:rPr>
      </w:pPr>
      <w:bookmarkStart w:id="31" w:name="_Toc6015"/>
      <w:bookmarkStart w:id="32" w:name="_Toc7495"/>
      <w:r>
        <w:rPr>
          <w:rFonts w:hint="eastAsia" w:ascii="Times New Roman"/>
          <w:sz w:val="24"/>
          <w:szCs w:val="24"/>
          <w:highlight w:val="none"/>
          <w:lang w:val="en-US" w:eastAsia="zh-CN"/>
        </w:rPr>
        <w:t>2.2.3.3</w:t>
      </w:r>
      <w:r>
        <w:rPr>
          <w:rFonts w:hint="eastAsia" w:ascii="Times New Roman"/>
          <w:sz w:val="24"/>
          <w:szCs w:val="24"/>
          <w:highlight w:val="none"/>
        </w:rPr>
        <w:t>注意事项</w:t>
      </w:r>
      <w:bookmarkEnd w:id="31"/>
      <w:bookmarkEnd w:id="32"/>
    </w:p>
    <w:p w14:paraId="2C6A829B">
      <w:pPr>
        <w:pStyle w:val="26"/>
        <w:numPr>
          <w:ilvl w:val="0"/>
          <w:numId w:val="0"/>
        </w:numPr>
        <w:spacing w:beforeLines="50" w:afterLines="50"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33" w:name="_Toc24553"/>
      <w:bookmarkStart w:id="34" w:name="_Toc7631"/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 w:bidi="ar-SA"/>
        </w:rPr>
        <w:t>2.2.3.3.1定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期翻晒枕芯，定期更换药物。应经常放在通风处翻晒。使用中要保持枕头的透气性。</w:t>
      </w:r>
      <w:bookmarkEnd w:id="33"/>
      <w:bookmarkEnd w:id="34"/>
    </w:p>
    <w:p w14:paraId="423AC06B">
      <w:pPr>
        <w:pStyle w:val="28"/>
        <w:numPr>
          <w:ilvl w:val="1"/>
          <w:numId w:val="0"/>
        </w:numPr>
        <w:spacing w:line="360" w:lineRule="auto"/>
        <w:rPr>
          <w:rFonts w:ascii="Times New Roman"/>
          <w:sz w:val="24"/>
          <w:szCs w:val="24"/>
          <w:highlight w:val="none"/>
        </w:rPr>
      </w:pPr>
      <w:bookmarkStart w:id="35" w:name="_Toc1787"/>
      <w:bookmarkStart w:id="36" w:name="_Toc9698"/>
      <w:r>
        <w:rPr>
          <w:rFonts w:hint="eastAsia" w:ascii="Times New Roman"/>
          <w:sz w:val="24"/>
          <w:szCs w:val="24"/>
          <w:highlight w:val="none"/>
          <w:lang w:val="en-US" w:eastAsia="zh-CN"/>
        </w:rPr>
        <w:t>2.2.3.3.2</w:t>
      </w:r>
      <w:r>
        <w:rPr>
          <w:rFonts w:hint="eastAsia" w:ascii="Times New Roman"/>
          <w:sz w:val="24"/>
          <w:szCs w:val="24"/>
          <w:highlight w:val="none"/>
        </w:rPr>
        <w:t>使用药枕时间不宜太短。每晚用枕时间不应少于</w:t>
      </w:r>
      <w:r>
        <w:rPr>
          <w:rFonts w:ascii="Times New Roman"/>
          <w:sz w:val="24"/>
          <w:szCs w:val="24"/>
          <w:highlight w:val="none"/>
        </w:rPr>
        <w:t>6</w:t>
      </w:r>
      <w:r>
        <w:rPr>
          <w:rFonts w:hint="eastAsia" w:ascii="Times New Roman"/>
          <w:sz w:val="24"/>
          <w:szCs w:val="24"/>
          <w:highlight w:val="none"/>
        </w:rPr>
        <w:t>个小时。一般连续使用</w:t>
      </w:r>
      <w:r>
        <w:rPr>
          <w:rFonts w:ascii="Times New Roman"/>
          <w:sz w:val="24"/>
          <w:szCs w:val="24"/>
          <w:highlight w:val="none"/>
        </w:rPr>
        <w:t>1</w:t>
      </w:r>
      <w:r>
        <w:rPr>
          <w:rFonts w:hint="eastAsia" w:ascii="Times New Roman"/>
          <w:sz w:val="24"/>
          <w:szCs w:val="24"/>
          <w:highlight w:val="none"/>
        </w:rPr>
        <w:t>月后，效果才会明显稳定。</w:t>
      </w:r>
      <w:bookmarkEnd w:id="35"/>
      <w:bookmarkEnd w:id="36"/>
    </w:p>
    <w:p w14:paraId="1847B4FC">
      <w:pPr>
        <w:pStyle w:val="28"/>
        <w:numPr>
          <w:ilvl w:val="1"/>
          <w:numId w:val="0"/>
        </w:numPr>
        <w:spacing w:line="360" w:lineRule="auto"/>
        <w:rPr>
          <w:rFonts w:ascii="Times New Roman"/>
          <w:sz w:val="24"/>
          <w:szCs w:val="24"/>
          <w:highlight w:val="none"/>
        </w:rPr>
      </w:pPr>
      <w:bookmarkStart w:id="37" w:name="_Toc3974"/>
      <w:bookmarkStart w:id="38" w:name="_Toc5657"/>
      <w:r>
        <w:rPr>
          <w:rFonts w:hint="eastAsia" w:ascii="Times New Roman"/>
          <w:sz w:val="24"/>
          <w:szCs w:val="24"/>
          <w:highlight w:val="none"/>
          <w:lang w:val="en-US" w:eastAsia="zh-CN"/>
        </w:rPr>
        <w:t>2.2.3.3.3</w:t>
      </w:r>
      <w:r>
        <w:rPr>
          <w:rFonts w:hint="eastAsia" w:ascii="Times New Roman"/>
          <w:sz w:val="24"/>
          <w:szCs w:val="24"/>
          <w:highlight w:val="none"/>
        </w:rPr>
        <w:t>保持药枕的透气性和弹性。一般药枕枕芯，有条件者，以一个月更换一次为宜。</w:t>
      </w:r>
      <w:bookmarkEnd w:id="37"/>
      <w:bookmarkEnd w:id="38"/>
    </w:p>
    <w:p w14:paraId="7F084C13">
      <w:pPr>
        <w:pStyle w:val="28"/>
        <w:numPr>
          <w:ilvl w:val="1"/>
          <w:numId w:val="0"/>
        </w:numPr>
        <w:spacing w:line="360" w:lineRule="auto"/>
        <w:rPr>
          <w:rFonts w:ascii="Times New Roman"/>
          <w:sz w:val="24"/>
          <w:szCs w:val="24"/>
          <w:highlight w:val="none"/>
        </w:rPr>
      </w:pPr>
      <w:bookmarkStart w:id="39" w:name="_Toc16531"/>
      <w:bookmarkStart w:id="40" w:name="_Toc31700"/>
      <w:r>
        <w:rPr>
          <w:rFonts w:hint="eastAsia" w:ascii="Times New Roman"/>
          <w:sz w:val="24"/>
          <w:szCs w:val="24"/>
          <w:highlight w:val="none"/>
          <w:lang w:val="en-US" w:eastAsia="zh-CN"/>
        </w:rPr>
        <w:t>2.2.3.3.4</w:t>
      </w:r>
      <w:r>
        <w:rPr>
          <w:rFonts w:hint="eastAsia" w:ascii="Times New Roman"/>
          <w:sz w:val="24"/>
          <w:szCs w:val="24"/>
          <w:highlight w:val="none"/>
        </w:rPr>
        <w:t>因人施枕。因太少阴阳人个体体质有差异，各象人之间不得交叉使用。</w:t>
      </w:r>
      <w:bookmarkEnd w:id="39"/>
      <w:bookmarkEnd w:id="40"/>
    </w:p>
    <w:p w14:paraId="33CEF33F">
      <w:pPr>
        <w:pStyle w:val="28"/>
        <w:numPr>
          <w:ilvl w:val="1"/>
          <w:numId w:val="0"/>
        </w:numPr>
        <w:spacing w:line="360" w:lineRule="auto"/>
        <w:rPr>
          <w:rFonts w:ascii="Times New Roman"/>
          <w:sz w:val="24"/>
          <w:szCs w:val="24"/>
          <w:highlight w:val="none"/>
        </w:rPr>
      </w:pPr>
      <w:bookmarkStart w:id="41" w:name="_Toc16782"/>
      <w:bookmarkStart w:id="42" w:name="_Toc30835"/>
      <w:r>
        <w:rPr>
          <w:rFonts w:hint="eastAsia" w:ascii="Times New Roman"/>
          <w:sz w:val="24"/>
          <w:szCs w:val="24"/>
          <w:highlight w:val="none"/>
          <w:lang w:val="en-US" w:eastAsia="zh-CN"/>
        </w:rPr>
        <w:t>2.2.3.3.5</w:t>
      </w:r>
      <w:r>
        <w:rPr>
          <w:rFonts w:hint="eastAsia" w:ascii="Times New Roman"/>
          <w:sz w:val="24"/>
          <w:szCs w:val="24"/>
          <w:highlight w:val="none"/>
        </w:rPr>
        <w:t>使用药枕，睡姿随意，仰卧、侧卧均可，入睡前最好饮一杯温开水，以防芳香类朝药耗伤阴津。</w:t>
      </w:r>
      <w:bookmarkEnd w:id="41"/>
      <w:bookmarkEnd w:id="42"/>
    </w:p>
    <w:p w14:paraId="4AE5EE59">
      <w:pPr>
        <w:pStyle w:val="28"/>
        <w:numPr>
          <w:ilvl w:val="1"/>
          <w:numId w:val="0"/>
        </w:numPr>
        <w:spacing w:line="360" w:lineRule="auto"/>
        <w:rPr>
          <w:rFonts w:hint="eastAsia" w:ascii="Times New Roman"/>
          <w:sz w:val="24"/>
          <w:szCs w:val="24"/>
          <w:highlight w:val="none"/>
        </w:rPr>
      </w:pPr>
      <w:bookmarkStart w:id="43" w:name="_Toc26023"/>
      <w:bookmarkStart w:id="44" w:name="_Toc18000"/>
      <w:r>
        <w:rPr>
          <w:rFonts w:hint="eastAsia" w:ascii="Times New Roman"/>
          <w:sz w:val="24"/>
          <w:szCs w:val="24"/>
          <w:highlight w:val="none"/>
          <w:lang w:val="en-US" w:eastAsia="zh-CN"/>
        </w:rPr>
        <w:t>2.2.3.3.6</w:t>
      </w:r>
      <w:r>
        <w:rPr>
          <w:rFonts w:hint="eastAsia" w:ascii="Times New Roman"/>
          <w:sz w:val="24"/>
          <w:szCs w:val="24"/>
          <w:highlight w:val="none"/>
        </w:rPr>
        <w:t>使用中如出现皮肤瘙痒、斑疹、发红等过敏现象，应立即停止使用药枕，并做抗过敏治疗。</w:t>
      </w:r>
      <w:bookmarkEnd w:id="43"/>
      <w:bookmarkEnd w:id="44"/>
    </w:p>
    <w:p w14:paraId="44852162">
      <w:pPr>
        <w:pStyle w:val="28"/>
        <w:numPr>
          <w:ilvl w:val="1"/>
          <w:numId w:val="0"/>
        </w:numPr>
        <w:spacing w:line="360" w:lineRule="auto"/>
        <w:rPr>
          <w:rFonts w:hint="eastAsia" w:ascii="Times New Roman"/>
          <w:sz w:val="24"/>
          <w:szCs w:val="24"/>
          <w:highlight w:val="none"/>
          <w:lang w:val="en-US" w:eastAsia="zh-CN"/>
        </w:rPr>
      </w:pPr>
      <w:bookmarkStart w:id="45" w:name="_Toc6640"/>
      <w:bookmarkStart w:id="46" w:name="_Toc27128"/>
      <w:r>
        <w:rPr>
          <w:rFonts w:hint="eastAsia" w:ascii="Times New Roman"/>
          <w:sz w:val="24"/>
          <w:szCs w:val="24"/>
          <w:highlight w:val="none"/>
          <w:lang w:val="en-US" w:eastAsia="zh-CN"/>
        </w:rPr>
        <w:t>2.2.3.4治疗时间与疗程</w:t>
      </w:r>
      <w:bookmarkEnd w:id="45"/>
      <w:bookmarkEnd w:id="46"/>
    </w:p>
    <w:p w14:paraId="7EBE8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Times New Roman" w:hAnsi="Times New Roman" w:cs="Times New Roman"/>
          <w:highlight w:val="none"/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每晚用枕时间6-8小时为宜，连续枕2-3周，1个月为一个疗程。</w:t>
      </w:r>
    </w:p>
    <w:p w14:paraId="2449115D">
      <w:pPr>
        <w:pStyle w:val="5"/>
        <w:rPr>
          <w:rFonts w:hint="eastAsia"/>
          <w:sz w:val="21"/>
          <w:szCs w:val="21"/>
          <w:highlight w:val="none"/>
          <w:lang w:eastAsia="zh-CN"/>
        </w:rPr>
      </w:pPr>
      <w:bookmarkStart w:id="47" w:name="_Toc3573"/>
      <w:r>
        <w:rPr>
          <w:rFonts w:hint="eastAsia"/>
          <w:sz w:val="21"/>
          <w:szCs w:val="21"/>
          <w:highlight w:val="none"/>
        </w:rPr>
        <w:t>2.</w:t>
      </w:r>
      <w:r>
        <w:rPr>
          <w:rFonts w:hint="eastAsia"/>
          <w:sz w:val="21"/>
          <w:szCs w:val="21"/>
          <w:highlight w:val="none"/>
          <w:lang w:val="en-US" w:eastAsia="zh-CN"/>
        </w:rPr>
        <w:t>2</w:t>
      </w:r>
      <w:r>
        <w:rPr>
          <w:rFonts w:hint="eastAsia"/>
          <w:sz w:val="21"/>
          <w:szCs w:val="21"/>
          <w:highlight w:val="none"/>
        </w:rPr>
        <w:t>.</w:t>
      </w:r>
      <w:r>
        <w:rPr>
          <w:rFonts w:hint="eastAsia"/>
          <w:sz w:val="21"/>
          <w:szCs w:val="21"/>
          <w:highlight w:val="none"/>
          <w:lang w:val="en-US" w:eastAsia="zh-CN"/>
        </w:rPr>
        <w:t>4朝医贴敷</w:t>
      </w:r>
      <w:r>
        <w:rPr>
          <w:rFonts w:hint="eastAsia"/>
          <w:sz w:val="21"/>
          <w:szCs w:val="21"/>
          <w:highlight w:val="none"/>
          <w:lang w:eastAsia="zh-CN"/>
        </w:rPr>
        <w:t>疗法</w:t>
      </w:r>
      <w:bookmarkEnd w:id="47"/>
    </w:p>
    <w:p w14:paraId="2EAC59D3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2.2.4.1</w:t>
      </w:r>
      <w:r>
        <w:rPr>
          <w:rFonts w:hint="eastAsia"/>
          <w:sz w:val="24"/>
          <w:szCs w:val="24"/>
          <w:highlight w:val="none"/>
        </w:rPr>
        <w:t>药物配伍</w:t>
      </w:r>
    </w:p>
    <w:p w14:paraId="1B200683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  <w:t>根据四象人的脏局特点，选择相应肌张力增高部位；根据寒热体质，用四象人药物。主要用于四肢。</w:t>
      </w:r>
    </w:p>
    <w:p w14:paraId="4369EAF9">
      <w:pPr>
        <w:pStyle w:val="13"/>
        <w:spacing w:line="360" w:lineRule="auto"/>
        <w:ind w:firstLineChars="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2.2.4.1.1</w:t>
      </w:r>
      <w:r>
        <w:rPr>
          <w:rFonts w:hint="eastAsia"/>
          <w:sz w:val="24"/>
          <w:szCs w:val="24"/>
          <w:highlight w:val="none"/>
        </w:rPr>
        <w:t>太阳人</w:t>
      </w:r>
    </w:p>
    <w:p w14:paraId="6D7C5D6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  <w:t>五加皮、木瓜、芦根、松节各等分。</w:t>
      </w:r>
    </w:p>
    <w:p w14:paraId="5908C5A2">
      <w:pPr>
        <w:pStyle w:val="13"/>
        <w:spacing w:line="360" w:lineRule="auto"/>
        <w:ind w:firstLineChars="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2.2.4.1.2</w:t>
      </w:r>
      <w:r>
        <w:rPr>
          <w:rFonts w:hint="eastAsia"/>
          <w:sz w:val="24"/>
          <w:szCs w:val="24"/>
          <w:highlight w:val="none"/>
        </w:rPr>
        <w:t>太阴人</w:t>
      </w:r>
    </w:p>
    <w:p w14:paraId="6685E326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  <w:t>莲子肉、山药、天冬、麦冬、远志、石菖蒲、酸枣仁各等分。</w:t>
      </w:r>
    </w:p>
    <w:p w14:paraId="500E62E4">
      <w:pPr>
        <w:pStyle w:val="13"/>
        <w:spacing w:line="360" w:lineRule="auto"/>
        <w:ind w:firstLineChars="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2.2.4.1.3</w:t>
      </w:r>
      <w:r>
        <w:rPr>
          <w:rFonts w:hint="eastAsia"/>
          <w:sz w:val="24"/>
          <w:szCs w:val="24"/>
          <w:highlight w:val="none"/>
        </w:rPr>
        <w:t>少阳人</w:t>
      </w:r>
    </w:p>
    <w:p w14:paraId="78BE1921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  <w:t>生地黄、熟地黄、忍冬藤、连翘、山栀子、薄菏各等分。</w:t>
      </w:r>
    </w:p>
    <w:p w14:paraId="08CA8452">
      <w:pPr>
        <w:pStyle w:val="13"/>
        <w:spacing w:line="360" w:lineRule="auto"/>
        <w:ind w:firstLineChars="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2.2.4.1.4</w:t>
      </w:r>
      <w:r>
        <w:rPr>
          <w:rFonts w:hint="eastAsia"/>
          <w:sz w:val="24"/>
          <w:szCs w:val="24"/>
          <w:highlight w:val="none"/>
        </w:rPr>
        <w:t>少阴人</w:t>
      </w:r>
    </w:p>
    <w:p w14:paraId="03269A01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  <w:t>人参、黄芪、白术、当归、陈皮、炙甘草、苏叶各等分。</w:t>
      </w:r>
    </w:p>
    <w:p w14:paraId="52A4D5AD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2.2.4.2</w:t>
      </w:r>
      <w:r>
        <w:rPr>
          <w:rFonts w:hint="eastAsia"/>
          <w:sz w:val="24"/>
          <w:szCs w:val="24"/>
          <w:highlight w:val="none"/>
        </w:rPr>
        <w:t>具体操作</w:t>
      </w:r>
    </w:p>
    <w:p w14:paraId="4F37A536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  <w:t>先将药物浸泡2个小时后，武火煮沸20分钟，文火50分钟，取药汁，浸于药汁中的纱布，敷于肌张力增高部位。</w:t>
      </w:r>
    </w:p>
    <w:p w14:paraId="29078DD7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2.2.4.3</w:t>
      </w:r>
      <w:r>
        <w:rPr>
          <w:rFonts w:hint="eastAsia"/>
          <w:sz w:val="24"/>
          <w:szCs w:val="24"/>
          <w:highlight w:val="none"/>
        </w:rPr>
        <w:t>注意事项</w:t>
      </w:r>
    </w:p>
    <w:p w14:paraId="092E7046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2.2.4.3.1</w:t>
      </w:r>
      <w:r>
        <w:rPr>
          <w:rFonts w:hint="eastAsia"/>
          <w:sz w:val="24"/>
          <w:szCs w:val="24"/>
          <w:highlight w:val="none"/>
        </w:rPr>
        <w:t>注意患者是否对所药物有过敏反应，若发现过敏现象，应立即停止敷贴。</w:t>
      </w:r>
    </w:p>
    <w:p w14:paraId="159DFCD8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2.2.4.3.2</w:t>
      </w:r>
      <w:r>
        <w:rPr>
          <w:rFonts w:hint="eastAsia"/>
          <w:sz w:val="24"/>
          <w:szCs w:val="24"/>
          <w:highlight w:val="none"/>
        </w:rPr>
        <w:t>贴敷前应用温水将皮肤局部擦净，使药物容易吸收。</w:t>
      </w:r>
    </w:p>
    <w:p w14:paraId="770E1A1F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2.2.4.3.3</w:t>
      </w:r>
      <w:r>
        <w:rPr>
          <w:rFonts w:hint="eastAsia"/>
          <w:sz w:val="24"/>
          <w:szCs w:val="24"/>
          <w:highlight w:val="none"/>
        </w:rPr>
        <w:t>出现各种原因所致的溃疡等皮肤损伤时，禁用毒性强或具有刺激性的药物。</w:t>
      </w:r>
    </w:p>
    <w:p w14:paraId="1B1D05FB">
      <w:pPr>
        <w:pStyle w:val="13"/>
        <w:spacing w:line="360" w:lineRule="auto"/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2.2.4.4</w:t>
      </w:r>
      <w:r>
        <w:rPr>
          <w:rFonts w:hint="eastAsia"/>
          <w:sz w:val="24"/>
          <w:szCs w:val="24"/>
          <w:highlight w:val="none"/>
        </w:rPr>
        <w:t>治疗时间与疗程</w:t>
      </w:r>
    </w:p>
    <w:p w14:paraId="73F3EF5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  <w:t>每次敷30分钟，发病15天-3个月，一日一次。</w:t>
      </w:r>
    </w:p>
    <w:p w14:paraId="5405431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default"/>
          <w:color w:val="auto"/>
          <w:sz w:val="24"/>
          <w:szCs w:val="24"/>
          <w:highlight w:val="none"/>
          <w:lang w:val="en-US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注：以上朝医外治法，根据患者病情程度进行选择，病情较轻者选择一种即可</w:t>
      </w: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，病情较重的多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选择两种以上朝医外治法联合治疗</w:t>
      </w:r>
      <w:r>
        <w:rPr>
          <w:rFonts w:hint="eastAsia"/>
          <w:b/>
          <w:bCs/>
          <w:color w:val="auto"/>
          <w:lang w:val="en-US" w:eastAsia="zh-CN"/>
        </w:rPr>
        <w:t>。</w:t>
      </w:r>
    </w:p>
    <w:p w14:paraId="1A007E87">
      <w:pPr>
        <w:pStyle w:val="4"/>
        <w:rPr>
          <w:color w:val="auto"/>
        </w:rPr>
      </w:pPr>
      <w:bookmarkStart w:id="48" w:name="_Toc4364"/>
      <w:r>
        <w:rPr>
          <w:rFonts w:hint="eastAsia"/>
          <w:color w:val="auto"/>
        </w:rPr>
        <w:t>3护理调摄</w:t>
      </w:r>
      <w:bookmarkEnd w:id="48"/>
    </w:p>
    <w:p w14:paraId="51E00DB9">
      <w:pPr>
        <w:adjustRightInd w:val="0"/>
        <w:snapToGrid w:val="0"/>
        <w:spacing w:line="360" w:lineRule="auto"/>
        <w:rPr>
          <w:rStyle w:val="24"/>
          <w:rFonts w:hint="eastAsia" w:ascii="宋体" w:hAnsi="宋体" w:eastAsia="宋体" w:cs="宋体"/>
          <w:sz w:val="20"/>
          <w:szCs w:val="20"/>
        </w:rPr>
      </w:pPr>
      <w:bookmarkStart w:id="49" w:name="_Toc9936"/>
      <w:r>
        <w:rPr>
          <w:rStyle w:val="24"/>
          <w:rFonts w:hint="eastAsia" w:ascii="宋体" w:hAnsi="宋体" w:cs="宋体"/>
          <w:sz w:val="20"/>
          <w:szCs w:val="20"/>
        </w:rPr>
        <w:t>3.</w:t>
      </w:r>
      <w:r>
        <w:rPr>
          <w:rStyle w:val="24"/>
          <w:rFonts w:hint="eastAsia" w:ascii="宋体" w:hAnsi="宋体" w:eastAsia="宋体" w:cs="宋体"/>
          <w:sz w:val="20"/>
          <w:szCs w:val="20"/>
        </w:rPr>
        <w:t>1生活起居：</w:t>
      </w:r>
    </w:p>
    <w:bookmarkEnd w:id="49"/>
    <w:p w14:paraId="601C9503">
      <w:pPr>
        <w:adjustRightInd w:val="0"/>
        <w:snapToGrid w:val="0"/>
        <w:spacing w:line="360" w:lineRule="auto"/>
        <w:rPr>
          <w:rFonts w:hint="eastAsia"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3.1.1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调摄情志、建立信心，起居有常、不妄作劳，戒烟酒、慎避外邪。</w:t>
      </w:r>
    </w:p>
    <w:p w14:paraId="40424568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3.1.2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注意安全，防呛咳窒息、防跌倒坠床、防压疮、防烫伤、防走失等意外。</w:t>
      </w:r>
    </w:p>
    <w:p w14:paraId="440243B9">
      <w:pPr>
        <w:spacing w:line="360" w:lineRule="auto"/>
        <w:rPr>
          <w:rStyle w:val="24"/>
          <w:rFonts w:hint="eastAsia" w:ascii="宋体" w:hAnsi="宋体" w:eastAsia="宋体" w:cs="宋体"/>
          <w:sz w:val="20"/>
          <w:szCs w:val="20"/>
        </w:rPr>
      </w:pPr>
      <w:bookmarkStart w:id="50" w:name="_Toc987"/>
      <w:r>
        <w:rPr>
          <w:rStyle w:val="24"/>
          <w:rFonts w:hint="eastAsia" w:ascii="宋体" w:hAnsi="宋体" w:cs="宋体"/>
          <w:sz w:val="20"/>
          <w:szCs w:val="20"/>
        </w:rPr>
        <w:t>3.</w:t>
      </w:r>
      <w:r>
        <w:rPr>
          <w:rStyle w:val="24"/>
          <w:rFonts w:hint="eastAsia" w:ascii="宋体" w:hAnsi="宋体" w:eastAsia="宋体" w:cs="宋体"/>
          <w:sz w:val="20"/>
          <w:szCs w:val="20"/>
        </w:rPr>
        <w:t>2饮食调理：</w:t>
      </w:r>
    </w:p>
    <w:bookmarkEnd w:id="50"/>
    <w:p w14:paraId="3E8B4220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宋体"/>
          <w:bCs/>
          <w:sz w:val="24"/>
          <w:szCs w:val="24"/>
          <w:highlight w:val="none"/>
          <w:lang w:val="en-US" w:eastAsia="zh-CN"/>
        </w:rPr>
        <w:t>3.2.1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太阳人</w:t>
      </w:r>
      <w:r>
        <w:rPr>
          <w:rFonts w:hint="eastAsia" w:cs="Times New Roman"/>
          <w:sz w:val="24"/>
          <w:szCs w:val="24"/>
          <w:highlight w:val="none"/>
          <w:lang w:eastAsia="zh-CN"/>
        </w:rPr>
        <w:t>：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适合生冷淡薄食物，不太适合肥甘厚腻及辛热食物。</w:t>
      </w:r>
    </w:p>
    <w:p w14:paraId="29909554">
      <w:pPr>
        <w:spacing w:line="360" w:lineRule="auto"/>
        <w:rPr>
          <w:rFonts w:hint="eastAsia"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宋体"/>
          <w:bCs/>
          <w:sz w:val="24"/>
          <w:szCs w:val="24"/>
          <w:highlight w:val="none"/>
          <w:lang w:val="en-US" w:eastAsia="zh-CN"/>
        </w:rPr>
        <w:t>3.2.2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太阴人</w:t>
      </w:r>
      <w:r>
        <w:rPr>
          <w:rFonts w:hint="eastAsia" w:cs="Times New Roman"/>
          <w:sz w:val="24"/>
          <w:szCs w:val="24"/>
          <w:highlight w:val="none"/>
          <w:lang w:eastAsia="zh-CN"/>
        </w:rPr>
        <w:t>：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适合高蛋白及含钙量较多的食物，不太适合刺激性强、高脂肪及生冷食物。</w:t>
      </w:r>
    </w:p>
    <w:p w14:paraId="326A4AC4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3.2.3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少阳人</w:t>
      </w:r>
      <w:r>
        <w:rPr>
          <w:rFonts w:hint="eastAsia" w:cs="Times New Roman"/>
          <w:sz w:val="24"/>
          <w:szCs w:val="24"/>
          <w:highlight w:val="none"/>
          <w:lang w:eastAsia="zh-CN"/>
        </w:rPr>
        <w:t>：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适合蔬菜、海鲜类及清凉食物，不太适合刺激性强及辛热食物。</w:t>
      </w:r>
    </w:p>
    <w:p w14:paraId="6C9EFA93">
      <w:pPr>
        <w:spacing w:line="360" w:lineRule="auto"/>
        <w:rPr>
          <w:rStyle w:val="24"/>
          <w:rFonts w:hint="eastAsia" w:ascii="宋体" w:hAnsi="宋体" w:eastAsia="宋体" w:cs="宋体"/>
          <w:sz w:val="24"/>
          <w:szCs w:val="24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3.2.4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少阴人</w:t>
      </w:r>
      <w:r>
        <w:rPr>
          <w:rFonts w:hint="eastAsia" w:cs="Times New Roman"/>
          <w:sz w:val="24"/>
          <w:szCs w:val="24"/>
          <w:highlight w:val="none"/>
          <w:lang w:eastAsia="zh-CN"/>
        </w:rPr>
        <w:t>：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适合温热及清淡易消化食物，不太适合肥甘厚腻及生冷食物。</w:t>
      </w:r>
    </w:p>
    <w:p w14:paraId="3A545E1A">
      <w:pPr>
        <w:spacing w:line="360" w:lineRule="auto"/>
        <w:rPr>
          <w:rStyle w:val="24"/>
          <w:rFonts w:hint="eastAsia" w:ascii="宋体" w:hAnsi="宋体" w:eastAsia="宋体" w:cs="宋体"/>
          <w:sz w:val="20"/>
          <w:szCs w:val="20"/>
        </w:rPr>
      </w:pPr>
      <w:bookmarkStart w:id="51" w:name="_Toc24421"/>
      <w:r>
        <w:rPr>
          <w:rStyle w:val="24"/>
          <w:rFonts w:hint="eastAsia" w:ascii="宋体" w:hAnsi="宋体" w:eastAsia="宋体" w:cs="宋体"/>
          <w:sz w:val="20"/>
          <w:szCs w:val="20"/>
        </w:rPr>
        <w:t>3.</w:t>
      </w:r>
      <w:r>
        <w:rPr>
          <w:rStyle w:val="24"/>
          <w:rFonts w:hint="eastAsia" w:ascii="宋体" w:hAnsi="宋体" w:cs="宋体"/>
          <w:sz w:val="20"/>
          <w:szCs w:val="20"/>
        </w:rPr>
        <w:t>3</w:t>
      </w:r>
      <w:r>
        <w:rPr>
          <w:rStyle w:val="24"/>
          <w:rFonts w:hint="eastAsia" w:ascii="宋体" w:hAnsi="宋体" w:eastAsia="宋体" w:cs="宋体"/>
          <w:sz w:val="20"/>
          <w:szCs w:val="20"/>
        </w:rPr>
        <w:t>心理调摄：</w:t>
      </w:r>
    </w:p>
    <w:bookmarkEnd w:id="51"/>
    <w:p w14:paraId="4C67AC58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3.3.1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中风患者多为心火暴盛，应耐心按象做好情志护理，解除患者的恐惧、急躁等情绪，避免不良刺激。</w:t>
      </w:r>
    </w:p>
    <w:p w14:paraId="1F626F1D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3.3.2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对神志清醒患者及家属进行精神安慰，使其消除紧张、恐惧焦虑等不良情绪，积极配合治疗。</w:t>
      </w:r>
    </w:p>
    <w:p w14:paraId="7BAF51A7">
      <w:pPr>
        <w:pStyle w:val="13"/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3.3.3</w:t>
      </w:r>
      <w:r>
        <w:rPr>
          <w:rFonts w:hint="eastAsia"/>
          <w:sz w:val="24"/>
          <w:szCs w:val="24"/>
          <w:highlight w:val="none"/>
        </w:rPr>
        <w:t>根据四象人性情特点，按象做好情志护理。</w:t>
      </w:r>
    </w:p>
    <w:p w14:paraId="2A43EC5F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宋体"/>
          <w:bCs/>
          <w:sz w:val="24"/>
          <w:szCs w:val="24"/>
          <w:highlight w:val="none"/>
          <w:lang w:val="en-US" w:eastAsia="zh-CN"/>
        </w:rPr>
        <w:t>3.3.3.1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太阳人</w:t>
      </w:r>
    </w:p>
    <w:p w14:paraId="3AEA1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  <w:t>太阳人有择交心不广，有人身攻击心、窃取心、夸张心，恒有急迫之心，自尊心强，过于放纵，果断性及疏通性大的心理特点，应经常戒忌怒心和哀心, 注意忍让，并经常平静急躁之心。</w:t>
      </w:r>
    </w:p>
    <w:p w14:paraId="6BC6293F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3.3.3.2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太阴人</w:t>
      </w:r>
    </w:p>
    <w:p w14:paraId="3507C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  <w:t>太阴人有骄心、侈心，贪欲心大，恒有怯心，追求安逸，忍耐心大，喜怒不表露的心理特点，应经常戒忌乐心和喜心，应多考虑事务，并经常平静儒弱之心。</w:t>
      </w:r>
    </w:p>
    <w:p w14:paraId="252DBA51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3.3.3.3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少阳人</w:t>
      </w:r>
    </w:p>
    <w:p w14:paraId="05FC9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  <w:t>少阳人有偏私心、虚荣心大，恒有惧心，善于外交，重视外界，轻忽家庭的心理特点。应经常戒忌哀心和怒心，应多考虑居处，并经常平静惧怕之心。</w:t>
      </w:r>
    </w:p>
    <w:p w14:paraId="27E6B7A7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3.3.3.4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少阴人</w:t>
      </w:r>
    </w:p>
    <w:p w14:paraId="43E2A3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kern w:val="2"/>
          <w:sz w:val="24"/>
          <w:szCs w:val="24"/>
          <w:highlight w:val="none"/>
          <w:lang w:val="en-US" w:eastAsia="zh-CN" w:bidi="bo-CN"/>
          <w14:textFill>
            <w14:solidFill>
              <w14:schemeClr w14:val="tx1"/>
            </w14:solidFill>
          </w14:textFill>
        </w:rPr>
        <w:t>少阴人有偷逸心、虚荣心，掠夺心大，恒有不安定心的心理特点，应经常戒忌喜心和乐心，应积极一些，并经常平静不安定之心。</w:t>
      </w:r>
    </w:p>
    <w:p w14:paraId="31550B5B">
      <w:pPr>
        <w:pStyle w:val="2"/>
        <w:rPr>
          <w:rFonts w:hint="eastAsia"/>
        </w:rPr>
      </w:pPr>
    </w:p>
    <w:p w14:paraId="2A5A37BA">
      <w:pPr>
        <w:pStyle w:val="14"/>
        <w:widowControl/>
        <w:spacing w:beforeAutospacing="0" w:afterAutospacing="0" w:line="360" w:lineRule="auto"/>
        <w:ind w:firstLine="240" w:firstLineChars="100"/>
        <w:rPr>
          <w:rFonts w:hint="eastAsia" w:ascii="宋体" w:hAnsi="宋体" w:cs="宋体"/>
          <w:color w:val="000000"/>
          <w:shd w:val="clear" w:color="auto" w:fill="FFFFFF"/>
        </w:rPr>
      </w:pPr>
    </w:p>
    <w:p w14:paraId="22AFBFB1">
      <w:pPr>
        <w:pStyle w:val="14"/>
        <w:widowControl/>
        <w:spacing w:beforeAutospacing="0" w:afterAutospacing="0" w:line="360" w:lineRule="auto"/>
        <w:ind w:firstLine="459"/>
        <w:rPr>
          <w:rFonts w:hint="eastAsia" w:ascii="宋体" w:hAnsi="宋体" w:cs="宋体"/>
          <w:color w:val="000000"/>
          <w:shd w:val="clear" w:color="auto" w:fill="FFFFFF"/>
        </w:rPr>
      </w:pPr>
    </w:p>
    <w:p w14:paraId="639E61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A4E76">
    <w:pPr>
      <w:pStyle w:val="10"/>
    </w:pPr>
    <w:r>
      <w:rPr>
        <w:sz w:val="18"/>
      </w:rPr>
      <w:pict>
        <v:shape id="PowerPlusWaterMarkObject18480" o:spid="_x0000_s2049" o:spt="136" type="#_x0000_t136" style="position:absolute;left:0pt;height:178.05pt;width:409.1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公示稿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rPr>
        <w:rFonts w:hint="eastAsia" w:ascii="黑体" w:hAnsi="Times New Roman" w:eastAsia="黑体" w:cs="Times New Roman"/>
        <w:b w:val="0"/>
        <w:i w:val="0"/>
        <w:sz w:val="21"/>
        <w:szCs w:val="21"/>
      </w:rPr>
    </w:lvl>
    <w:lvl w:ilvl="1" w:tentative="0">
      <w:start w:val="1"/>
      <w:numFmt w:val="decimal"/>
      <w:pStyle w:val="29"/>
      <w:suff w:val="nothing"/>
      <w:lvlText w:val="%1.%2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cs="Times New Roman"/>
      </w:rPr>
    </w:lvl>
  </w:abstractNum>
  <w:abstractNum w:abstractNumId="1">
    <w:nsid w:val="2C5917C3"/>
    <w:multiLevelType w:val="multilevel"/>
    <w:tmpl w:val="2C5917C3"/>
    <w:lvl w:ilvl="0" w:tentative="0">
      <w:start w:val="1"/>
      <w:numFmt w:val="none"/>
      <w:pStyle w:val="30"/>
      <w:lvlText w:val="%1——"/>
      <w:lvlJc w:val="left"/>
      <w:pPr>
        <w:tabs>
          <w:tab w:val="left" w:pos="710"/>
        </w:tabs>
        <w:ind w:left="710" w:hanging="426"/>
      </w:pPr>
      <w:rPr>
        <w:rFonts w:hint="eastAsia" w:ascii="宋体" w:hAnsi="Times New Roman" w:eastAsia="宋体"/>
        <w:b w:val="0"/>
        <w:i w:val="0"/>
        <w:sz w:val="21"/>
        <w:lang w:val="en-US"/>
      </w:rPr>
    </w:lvl>
    <w:lvl w:ilvl="1" w:tentative="0">
      <w:start w:val="1"/>
      <w:numFmt w:val="none"/>
      <w:lvlText w:val=""/>
      <w:lvlJc w:val="left"/>
      <w:pPr>
        <w:ind w:left="710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lvlText w:val=""/>
      <w:lvlJc w:val="left"/>
      <w:pPr>
        <w:ind w:left="710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1930"/>
        </w:tabs>
        <w:ind w:left="1743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242"/>
        </w:tabs>
        <w:ind w:left="2055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54"/>
        </w:tabs>
        <w:ind w:left="2367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866"/>
        </w:tabs>
        <w:ind w:left="2679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178"/>
        </w:tabs>
        <w:ind w:left="2991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490"/>
        </w:tabs>
        <w:ind w:left="3303" w:hanging="528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QzY2MyN2ZiNDAwYjM4YzIzZTEyYmMwOTc4ZGM2YjgifQ=="/>
  </w:docVars>
  <w:rsids>
    <w:rsidRoot w:val="72447E59"/>
    <w:rsid w:val="001374DA"/>
    <w:rsid w:val="00324CB8"/>
    <w:rsid w:val="0043297F"/>
    <w:rsid w:val="004A3553"/>
    <w:rsid w:val="00826589"/>
    <w:rsid w:val="008A02A7"/>
    <w:rsid w:val="00BC1122"/>
    <w:rsid w:val="00CE1417"/>
    <w:rsid w:val="00CF194A"/>
    <w:rsid w:val="00E645F8"/>
    <w:rsid w:val="016C2657"/>
    <w:rsid w:val="01A83C46"/>
    <w:rsid w:val="01E70628"/>
    <w:rsid w:val="022B49C7"/>
    <w:rsid w:val="03553A2C"/>
    <w:rsid w:val="041F679F"/>
    <w:rsid w:val="05025778"/>
    <w:rsid w:val="05542B45"/>
    <w:rsid w:val="056168D3"/>
    <w:rsid w:val="05FD666C"/>
    <w:rsid w:val="081541D2"/>
    <w:rsid w:val="08BD0334"/>
    <w:rsid w:val="08CE1E54"/>
    <w:rsid w:val="09A0303B"/>
    <w:rsid w:val="0A4E22FB"/>
    <w:rsid w:val="0A550027"/>
    <w:rsid w:val="0B3C71FE"/>
    <w:rsid w:val="0B9C6927"/>
    <w:rsid w:val="0C230DF6"/>
    <w:rsid w:val="0CC8222C"/>
    <w:rsid w:val="0CCD460B"/>
    <w:rsid w:val="0D18421F"/>
    <w:rsid w:val="0D8711DE"/>
    <w:rsid w:val="0D8A3812"/>
    <w:rsid w:val="0DED5218"/>
    <w:rsid w:val="0E3C2DB2"/>
    <w:rsid w:val="0ED308B1"/>
    <w:rsid w:val="0F7D6D80"/>
    <w:rsid w:val="106D0892"/>
    <w:rsid w:val="10FD4FFE"/>
    <w:rsid w:val="116E2B13"/>
    <w:rsid w:val="118F5375"/>
    <w:rsid w:val="11F823DD"/>
    <w:rsid w:val="137E5A3B"/>
    <w:rsid w:val="13D529D6"/>
    <w:rsid w:val="1456352A"/>
    <w:rsid w:val="14EA425F"/>
    <w:rsid w:val="155142DE"/>
    <w:rsid w:val="16257F81"/>
    <w:rsid w:val="171C0777"/>
    <w:rsid w:val="17392D31"/>
    <w:rsid w:val="17B648CC"/>
    <w:rsid w:val="18256D1E"/>
    <w:rsid w:val="185A697D"/>
    <w:rsid w:val="18610CDC"/>
    <w:rsid w:val="19831126"/>
    <w:rsid w:val="1A293A7B"/>
    <w:rsid w:val="1A517F37"/>
    <w:rsid w:val="1A6B4094"/>
    <w:rsid w:val="1ADB30F9"/>
    <w:rsid w:val="1BAA2782"/>
    <w:rsid w:val="1DBA49EB"/>
    <w:rsid w:val="1E7E1EBC"/>
    <w:rsid w:val="1EBB6C6C"/>
    <w:rsid w:val="1F8E1B25"/>
    <w:rsid w:val="1F95570F"/>
    <w:rsid w:val="20426FFC"/>
    <w:rsid w:val="20BA1A58"/>
    <w:rsid w:val="20C21700"/>
    <w:rsid w:val="213D605E"/>
    <w:rsid w:val="21E87D78"/>
    <w:rsid w:val="21F46783"/>
    <w:rsid w:val="22837AA1"/>
    <w:rsid w:val="22DE5886"/>
    <w:rsid w:val="231921B3"/>
    <w:rsid w:val="235448E6"/>
    <w:rsid w:val="23A979DB"/>
    <w:rsid w:val="24066BDB"/>
    <w:rsid w:val="241A2687"/>
    <w:rsid w:val="24EE1B49"/>
    <w:rsid w:val="25755DC7"/>
    <w:rsid w:val="26516E6C"/>
    <w:rsid w:val="27BA21B7"/>
    <w:rsid w:val="27D305E4"/>
    <w:rsid w:val="283830DC"/>
    <w:rsid w:val="288E5EC4"/>
    <w:rsid w:val="28A86610"/>
    <w:rsid w:val="28BE5CD7"/>
    <w:rsid w:val="28D943FD"/>
    <w:rsid w:val="29177195"/>
    <w:rsid w:val="294206B6"/>
    <w:rsid w:val="2A2B5785"/>
    <w:rsid w:val="2ABD5A19"/>
    <w:rsid w:val="2AFB4FC0"/>
    <w:rsid w:val="2B181B0B"/>
    <w:rsid w:val="2BF928EA"/>
    <w:rsid w:val="2D990AC0"/>
    <w:rsid w:val="2DBA2F11"/>
    <w:rsid w:val="2DDD09AD"/>
    <w:rsid w:val="2E251DDB"/>
    <w:rsid w:val="30254242"/>
    <w:rsid w:val="303F594F"/>
    <w:rsid w:val="306929CC"/>
    <w:rsid w:val="31A041CB"/>
    <w:rsid w:val="32B900B2"/>
    <w:rsid w:val="32C5750C"/>
    <w:rsid w:val="334A33AD"/>
    <w:rsid w:val="336720BC"/>
    <w:rsid w:val="337C3265"/>
    <w:rsid w:val="33945FB2"/>
    <w:rsid w:val="33B55F3B"/>
    <w:rsid w:val="33E75850"/>
    <w:rsid w:val="34014CC9"/>
    <w:rsid w:val="34790D04"/>
    <w:rsid w:val="356E363C"/>
    <w:rsid w:val="358F6AA3"/>
    <w:rsid w:val="368C6323"/>
    <w:rsid w:val="377F4883"/>
    <w:rsid w:val="3816520F"/>
    <w:rsid w:val="39673821"/>
    <w:rsid w:val="3A202852"/>
    <w:rsid w:val="3B053B09"/>
    <w:rsid w:val="3B114790"/>
    <w:rsid w:val="3B411D50"/>
    <w:rsid w:val="3B64270E"/>
    <w:rsid w:val="3B7E0917"/>
    <w:rsid w:val="3B8701AA"/>
    <w:rsid w:val="3E78202C"/>
    <w:rsid w:val="3EFC4A0B"/>
    <w:rsid w:val="3F79605C"/>
    <w:rsid w:val="3F8E7D59"/>
    <w:rsid w:val="3FB83028"/>
    <w:rsid w:val="405C7E57"/>
    <w:rsid w:val="410E3E35"/>
    <w:rsid w:val="41925495"/>
    <w:rsid w:val="42597579"/>
    <w:rsid w:val="42E57C88"/>
    <w:rsid w:val="44312E4B"/>
    <w:rsid w:val="44ED5830"/>
    <w:rsid w:val="44F20D8A"/>
    <w:rsid w:val="456A0921"/>
    <w:rsid w:val="46452166"/>
    <w:rsid w:val="4717211A"/>
    <w:rsid w:val="47AA4DAE"/>
    <w:rsid w:val="4833173E"/>
    <w:rsid w:val="48545A7F"/>
    <w:rsid w:val="487F2935"/>
    <w:rsid w:val="48DD61E4"/>
    <w:rsid w:val="48E21116"/>
    <w:rsid w:val="48FC05E1"/>
    <w:rsid w:val="4ACF7478"/>
    <w:rsid w:val="4AD43F12"/>
    <w:rsid w:val="4AF02334"/>
    <w:rsid w:val="4BFA0BA5"/>
    <w:rsid w:val="4CCF550D"/>
    <w:rsid w:val="4DDF79D2"/>
    <w:rsid w:val="4E002804"/>
    <w:rsid w:val="4F3F2E1E"/>
    <w:rsid w:val="50F9524E"/>
    <w:rsid w:val="517E7E7A"/>
    <w:rsid w:val="52391DA6"/>
    <w:rsid w:val="527A293B"/>
    <w:rsid w:val="52DB4C0C"/>
    <w:rsid w:val="53A771E4"/>
    <w:rsid w:val="542B5395"/>
    <w:rsid w:val="54A379AB"/>
    <w:rsid w:val="55AB4F32"/>
    <w:rsid w:val="55D605F9"/>
    <w:rsid w:val="56064695"/>
    <w:rsid w:val="571D2429"/>
    <w:rsid w:val="579F7750"/>
    <w:rsid w:val="57DF5574"/>
    <w:rsid w:val="58893207"/>
    <w:rsid w:val="58C779E0"/>
    <w:rsid w:val="58D00F8B"/>
    <w:rsid w:val="5A08707B"/>
    <w:rsid w:val="5A2D03B3"/>
    <w:rsid w:val="5AC82581"/>
    <w:rsid w:val="5AD178FF"/>
    <w:rsid w:val="5AF947C9"/>
    <w:rsid w:val="5B5163B3"/>
    <w:rsid w:val="5B866118"/>
    <w:rsid w:val="5C276D2F"/>
    <w:rsid w:val="5C8008D1"/>
    <w:rsid w:val="5CDB5149"/>
    <w:rsid w:val="5D170190"/>
    <w:rsid w:val="5DF70D68"/>
    <w:rsid w:val="5E203E1A"/>
    <w:rsid w:val="5E7250D0"/>
    <w:rsid w:val="60663C1E"/>
    <w:rsid w:val="608C5797"/>
    <w:rsid w:val="60B00F64"/>
    <w:rsid w:val="60C018E5"/>
    <w:rsid w:val="60EE1FAE"/>
    <w:rsid w:val="6118702B"/>
    <w:rsid w:val="620D46B6"/>
    <w:rsid w:val="622163B3"/>
    <w:rsid w:val="623B7990"/>
    <w:rsid w:val="62454918"/>
    <w:rsid w:val="6247406C"/>
    <w:rsid w:val="62D809D6"/>
    <w:rsid w:val="63E85D4A"/>
    <w:rsid w:val="64076113"/>
    <w:rsid w:val="645B2050"/>
    <w:rsid w:val="64AF7CA6"/>
    <w:rsid w:val="64B623BF"/>
    <w:rsid w:val="64BB3ED9"/>
    <w:rsid w:val="65527816"/>
    <w:rsid w:val="65A74E21"/>
    <w:rsid w:val="65AC2A14"/>
    <w:rsid w:val="65C14135"/>
    <w:rsid w:val="676F46D2"/>
    <w:rsid w:val="687436E1"/>
    <w:rsid w:val="69886D18"/>
    <w:rsid w:val="69C77840"/>
    <w:rsid w:val="6A713DC7"/>
    <w:rsid w:val="6AB249D4"/>
    <w:rsid w:val="6AC45F78"/>
    <w:rsid w:val="6D97577B"/>
    <w:rsid w:val="6DDB623B"/>
    <w:rsid w:val="6FB46BED"/>
    <w:rsid w:val="70291255"/>
    <w:rsid w:val="70840239"/>
    <w:rsid w:val="70B34FC2"/>
    <w:rsid w:val="71816E6E"/>
    <w:rsid w:val="72447E59"/>
    <w:rsid w:val="72EE0533"/>
    <w:rsid w:val="731735E6"/>
    <w:rsid w:val="736A5E0C"/>
    <w:rsid w:val="736B19CA"/>
    <w:rsid w:val="73B91732"/>
    <w:rsid w:val="73D84F0C"/>
    <w:rsid w:val="74603971"/>
    <w:rsid w:val="74FB0C55"/>
    <w:rsid w:val="75245FC8"/>
    <w:rsid w:val="75F1669B"/>
    <w:rsid w:val="7657460F"/>
    <w:rsid w:val="768076F4"/>
    <w:rsid w:val="76944F4E"/>
    <w:rsid w:val="77204A34"/>
    <w:rsid w:val="782A5B6A"/>
    <w:rsid w:val="783014F3"/>
    <w:rsid w:val="794669D3"/>
    <w:rsid w:val="79962C81"/>
    <w:rsid w:val="79DC7338"/>
    <w:rsid w:val="7A355A41"/>
    <w:rsid w:val="7B821819"/>
    <w:rsid w:val="7BD65BC5"/>
    <w:rsid w:val="7BDF310F"/>
    <w:rsid w:val="7CA26617"/>
    <w:rsid w:val="7DE97C3E"/>
    <w:rsid w:val="7DEE684D"/>
    <w:rsid w:val="7E307C52"/>
    <w:rsid w:val="7F821A2C"/>
    <w:rsid w:val="7FA9059D"/>
    <w:rsid w:val="7FFD5912"/>
    <w:rsid w:val="9B970037"/>
    <w:rsid w:val="BDFC6446"/>
    <w:rsid w:val="D6FFCA59"/>
    <w:rsid w:val="F7DDC128"/>
    <w:rsid w:val="F7ED15D3"/>
    <w:rsid w:val="FCB64F0F"/>
    <w:rsid w:val="FFD39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Arial Unicode MS"/>
      <w:kern w:val="2"/>
      <w:sz w:val="21"/>
      <w:szCs w:val="24"/>
      <w:lang w:val="en-US" w:eastAsia="zh-CN" w:bidi="bo-CN"/>
    </w:rPr>
  </w:style>
  <w:style w:type="paragraph" w:styleId="4">
    <w:name w:val="heading 1"/>
    <w:basedOn w:val="1"/>
    <w:next w:val="1"/>
    <w:qFormat/>
    <w:uiPriority w:val="0"/>
    <w:pPr>
      <w:keepNext/>
      <w:keepLines/>
      <w:suppressAutoHyphens/>
      <w:spacing w:before="340" w:after="330" w:line="576" w:lineRule="auto"/>
      <w:outlineLvl w:val="0"/>
    </w:pPr>
    <w:rPr>
      <w:rFonts w:cs="Times New Roman"/>
      <w:b/>
      <w:kern w:val="44"/>
      <w:sz w:val="24"/>
      <w:lang w:bidi="ar-SA"/>
    </w:rPr>
  </w:style>
  <w:style w:type="paragraph" w:styleId="5">
    <w:name w:val="heading 2"/>
    <w:basedOn w:val="1"/>
    <w:next w:val="1"/>
    <w:link w:val="24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caption"/>
    <w:basedOn w:val="1"/>
    <w:next w:val="1"/>
    <w:qFormat/>
    <w:uiPriority w:val="0"/>
    <w:pPr>
      <w:ind w:firstLine="3584"/>
    </w:pPr>
  </w:style>
  <w:style w:type="paragraph" w:styleId="7">
    <w:name w:val="annotation text"/>
    <w:basedOn w:val="1"/>
    <w:link w:val="22"/>
    <w:qFormat/>
    <w:uiPriority w:val="0"/>
    <w:pPr>
      <w:jc w:val="left"/>
    </w:pPr>
  </w:style>
  <w:style w:type="paragraph" w:styleId="8">
    <w:name w:val="toc 3"/>
    <w:basedOn w:val="1"/>
    <w:next w:val="1"/>
    <w:qFormat/>
    <w:uiPriority w:val="0"/>
    <w:pPr>
      <w:ind w:left="840" w:leftChars="400"/>
    </w:p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Body Text 2"/>
    <w:basedOn w:val="1"/>
    <w:qFormat/>
    <w:uiPriority w:val="99"/>
    <w:pPr>
      <w:spacing w:after="120" w:line="480" w:lineRule="auto"/>
    </w:pPr>
    <w:rPr>
      <w:rFonts w:ascii="Times New Roman" w:hAnsi="Times New Roman" w:cs="Times New Roman"/>
    </w:rPr>
  </w:style>
  <w:style w:type="paragraph" w:styleId="1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lang w:bidi="ar-SA"/>
    </w:rPr>
  </w:style>
  <w:style w:type="paragraph" w:styleId="15">
    <w:name w:val="annotation subject"/>
    <w:basedOn w:val="7"/>
    <w:next w:val="7"/>
    <w:link w:val="23"/>
    <w:qFormat/>
    <w:uiPriority w:val="0"/>
    <w:rPr>
      <w:b/>
      <w:bCs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annotation reference"/>
    <w:basedOn w:val="18"/>
    <w:qFormat/>
    <w:uiPriority w:val="0"/>
    <w:rPr>
      <w:sz w:val="21"/>
      <w:szCs w:val="21"/>
    </w:rPr>
  </w:style>
  <w:style w:type="paragraph" w:customStyle="1" w:styleId="21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2">
    <w:name w:val="批注文字 字符"/>
    <w:basedOn w:val="18"/>
    <w:link w:val="7"/>
    <w:qFormat/>
    <w:uiPriority w:val="0"/>
    <w:rPr>
      <w:rFonts w:cs="Arial Unicode MS"/>
      <w:kern w:val="2"/>
      <w:sz w:val="21"/>
      <w:szCs w:val="24"/>
      <w:lang w:bidi="bo-CN"/>
    </w:rPr>
  </w:style>
  <w:style w:type="character" w:customStyle="1" w:styleId="23">
    <w:name w:val="批注主题 字符"/>
    <w:basedOn w:val="22"/>
    <w:link w:val="15"/>
    <w:qFormat/>
    <w:uiPriority w:val="0"/>
    <w:rPr>
      <w:rFonts w:cs="Arial Unicode MS"/>
      <w:b/>
      <w:bCs/>
      <w:kern w:val="2"/>
      <w:sz w:val="21"/>
      <w:szCs w:val="24"/>
      <w:lang w:bidi="bo-CN"/>
    </w:rPr>
  </w:style>
  <w:style w:type="character" w:customStyle="1" w:styleId="24">
    <w:name w:val="标题 2 字符"/>
    <w:link w:val="5"/>
    <w:qFormat/>
    <w:uiPriority w:val="0"/>
    <w:rPr>
      <w:rFonts w:ascii="Arial" w:hAnsi="Arial" w:eastAsia="黑体"/>
      <w:b/>
      <w:sz w:val="32"/>
    </w:rPr>
  </w:style>
  <w:style w:type="paragraph" w:styleId="25">
    <w:name w:val="List Paragraph"/>
    <w:basedOn w:val="1"/>
    <w:qFormat/>
    <w:uiPriority w:val="99"/>
    <w:pPr>
      <w:ind w:firstLine="420"/>
    </w:pPr>
  </w:style>
  <w:style w:type="paragraph" w:customStyle="1" w:styleId="26">
    <w:name w:val="章标题"/>
    <w:next w:val="27"/>
    <w:qFormat/>
    <w:uiPriority w:val="99"/>
    <w:p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7">
    <w:name w:val="段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8">
    <w:name w:val="一级无"/>
    <w:basedOn w:val="29"/>
    <w:qFormat/>
    <w:uiPriority w:val="99"/>
    <w:pPr>
      <w:spacing w:beforeLines="0" w:afterLines="0"/>
    </w:pPr>
    <w:rPr>
      <w:rFonts w:ascii="宋体" w:eastAsia="宋体"/>
    </w:rPr>
  </w:style>
  <w:style w:type="paragraph" w:customStyle="1" w:styleId="29">
    <w:name w:val="一级条标题"/>
    <w:next w:val="27"/>
    <w:qFormat/>
    <w:uiPriority w:val="99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30">
    <w:name w:val="标准文件_一级项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6701</Words>
  <Characters>7718</Characters>
  <Lines>181</Lines>
  <Paragraphs>174</Paragraphs>
  <TotalTime>0</TotalTime>
  <ScaleCrop>false</ScaleCrop>
  <LinksUpToDate>false</LinksUpToDate>
  <CharactersWithSpaces>7937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2026-03-10T06:50:00Z</dcterms:created>
  <dc:creator>丢丢</dc:creator>
  <cp:lastModifiedBy>丢丢</cp:lastModifiedBy>
  <cp:lastPrinted>2026-03-24T00:14:00Z</cp:lastPrinted>
  <dcterms:modified xsi:type="dcterms:W3CDTF">2026-04-28T01:21:40Z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B41AFA30C72549E4968B0FBA3BC25517_13</vt:lpwstr>
  </property>
  <property fmtid="{D5CDD505-2E9C-101B-9397-08002B2CF9AE}" pid="4" name="KSOTemplateDocerSaveRecord">
    <vt:lpwstr>eyJoZGlkIjoiZTgyZTNiOTczMmI4YjRhMDQ5ODQzOWQ1NDMxYjJmYTkiLCJ1c2VySWQiOiI1MTUwOTU1NTEifQ==</vt:lpwstr>
  </property>
</Properties>
</file>