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EC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3" w:name="_GoBack"/>
      <w:bookmarkEnd w:id="3"/>
      <w:bookmarkStart w:id="0" w:name="_Toc29580_WPSOffice_Level1"/>
      <w:bookmarkStart w:id="1" w:name="_Toc7308_WPSOffice_Level1"/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若染呵戏采苟（雄激素性秃发）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彝医诊疗方案</w:t>
      </w:r>
      <w:bookmarkEnd w:id="0"/>
      <w:bookmarkEnd w:id="1"/>
    </w:p>
    <w:p w14:paraId="4DAB4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4D475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一、诊断</w:t>
      </w:r>
    </w:p>
    <w:p w14:paraId="664BE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2" w:name="_Toc14841_WPSOffice_Level2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（一）疾病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诊断</w:t>
      </w:r>
      <w:bookmarkEnd w:id="2"/>
    </w:p>
    <w:p w14:paraId="4F82B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1.彝医诊断标准</w:t>
      </w:r>
    </w:p>
    <w:p w14:paraId="7B2D5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参照《中西医结合诊疗雄激素性秃发专家共识》（北京中西结合学会医学美容专业委员会、国家皮肤与免疫疾病临床医学研究中心，2021年）、《彝医基础理论》（杨本雷、张之道主编，云南民族出版社，2017年）有关内容拟定诊断标准。</w:t>
      </w:r>
    </w:p>
    <w:p w14:paraId="03DB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主症：前额及头顶部头发稀疏变细，重者发脱过多而秃顶；</w:t>
      </w:r>
    </w:p>
    <w:p w14:paraId="0EF7E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次症：头皮油腻，或头屑过多、头发干燥，伴有头皮瘙痒。</w:t>
      </w:r>
    </w:p>
    <w:p w14:paraId="622F6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2.西医诊断标准</w:t>
      </w:r>
    </w:p>
    <w:p w14:paraId="17EAA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参照《中国临床皮肤病学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第2版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（赵辨，江苏凤凰科学技术出版社，2017年）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          </w:t>
      </w:r>
    </w:p>
    <w:p w14:paraId="601FC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自发际线渐进性向头顶延伸，呈“M”型样发际线；或从头顶部开始脱落，可伴头发变细、头皮油腻；或发际线处与头顶同时脱落，最后头顶头发全部脱落，或仅有毳毛。</w:t>
      </w:r>
    </w:p>
    <w:p w14:paraId="4B7CC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（二）证候诊断</w:t>
      </w:r>
    </w:p>
    <w:p w14:paraId="1F97C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斯丛能垛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血热风毒证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发病较急，毛发脱落明显，常发生于青壮年，伴头皮瘙痒，身热，口渴，心烦，神志不安，夜不能寐。尿黄，大便干结。舌红苔黄，脉数。</w:t>
      </w:r>
    </w:p>
    <w:p w14:paraId="44292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泽丛能垛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湿热毒蕴证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头皮及头发油脂多，甚则数根毛发黏在一起，头皮瘙痒，鳞屑油腻，脱发明显，可伴急躁易怒，胁痛 口苦，尿赤，大便黏腻。舌红苔黄腻，脉弦滑。</w:t>
      </w:r>
    </w:p>
    <w:p w14:paraId="31412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帝则垛拟农（痰湿毒蕴证）：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病程长，平素喜食肥甘厚味辛辣之品，形体多肥胖，脱发明显，头皮油腻，胸满痞闷，身困神倦，四肢乏力，口不渴或呕恶纳呆，或心悸眩晕，腹胀便溏，舌淡胖，苔滑腻，脉滑。</w:t>
      </w:r>
    </w:p>
    <w:p w14:paraId="25AAD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四恩苟播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肝肾亏损证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：多与先天禀赋有关，形体削瘦，毛发多稀疏、细软、毛发不固、缺乏光泽，伴有头晕、心悸、失眠、五心烦热，女子月经不调，男子遗精盗汗，成年人常有腰膝酸软，夜尿多。舌红少苔，脉细数。</w:t>
      </w:r>
    </w:p>
    <w:p w14:paraId="20B92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二、治疗方法</w:t>
      </w:r>
    </w:p>
    <w:p w14:paraId="3803E88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textAlignment w:val="auto"/>
        <w:rPr>
          <w:rFonts w:hint="eastAsia" w:ascii="黑体" w:hAnsi="黑体" w:eastAsia="黑体" w:cs="黑体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color w:val="FF0000"/>
          <w:kern w:val="2"/>
          <w:sz w:val="28"/>
          <w:szCs w:val="28"/>
          <w:lang w:val="en-US" w:eastAsia="zh-CN" w:bidi="ar-SA"/>
        </w:rPr>
        <w:t>根据患者病情，选其一或联合使用</w:t>
      </w:r>
    </w:p>
    <w:p w14:paraId="27311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（一）辨证选择彝成药、医院制剂、口服彝药汤剂</w:t>
      </w:r>
    </w:p>
    <w:p w14:paraId="58D29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斯丛能垛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血热风毒证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 w14:paraId="537CA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治    法：疏风解毒、止痒</w:t>
      </w:r>
    </w:p>
    <w:p w14:paraId="1AE63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推荐医院制剂：吐文则博动起露（复方银翘解毒胶囊）【批准文号】滇药制字（Z）20082484E。【执行标准】滇ZJGF/2005-882。【用法用量】口服每次2粒，每日3次，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服用1-2周，根据病情调整或遵医嘱。</w:t>
      </w:r>
    </w:p>
    <w:p w14:paraId="1BE71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推荐方药：疏风止痒汤加减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（服用1-2周，根据病情调整或遵医嘱）</w:t>
      </w:r>
    </w:p>
    <w:p w14:paraId="79360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组    成：小荨麻根8g、黑锁梅根-30g、胡麻20g、阿能抛（野坝子）20g、硕搭帕（侧柏叶）8g、呆乃色（丹参）20g、熬若子（蒲公英）15g、野菊花10g、矣猜猛（蔓荆子）15g、多喷（蜂房）8g、鲜松针30g。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val="en-US" w:eastAsia="zh-CN"/>
        </w:rPr>
        <w:t>2日1剂，水煎，每日分3次服。</w:t>
      </w:r>
    </w:p>
    <w:p w14:paraId="60CBC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泽丛能垛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湿热毒蕴证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</w:p>
    <w:p w14:paraId="2D262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治    法：清热化湿解毒</w:t>
      </w:r>
    </w:p>
    <w:p w14:paraId="66EF2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推荐医院制剂：鲁清起露（民药胶囊）【批准文号】滇药制字（Z）20082480E。【执行标准】滇ZJGF/2005-878。【用法用量】口服，每次2粒，每日3次，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服用1-2周，根据病情调整或遵医嘱。</w:t>
      </w:r>
    </w:p>
    <w:p w14:paraId="5B3CB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推荐方药：清肠汤加减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（服用1-2周，根据病情调整或遵医嘱）</w:t>
      </w:r>
    </w:p>
    <w:p w14:paraId="6F24E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组    成：捞歹耐（芦苇根）20g、除巧景（马刺根）20g、狗屎兰花根20g、耶喜牛（鸡屎藤）10g、尼图基（白牛胆）8g、姜黄15g、硕搭帕（侧柏叶）8g、呆乃色（丹参）20g、泽泻20g。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val="en-US" w:eastAsia="zh-CN"/>
        </w:rPr>
        <w:t>2日1剂，水煎，每日分3次服。</w:t>
      </w:r>
    </w:p>
    <w:p w14:paraId="41A82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3.帝则垛拟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（痰湿毒蕴证）</w:t>
      </w:r>
    </w:p>
    <w:p w14:paraId="3054B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治法：燥湿化痰解毒</w:t>
      </w:r>
    </w:p>
    <w:p w14:paraId="6DF39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推荐彝成药：利胆解毒胶囊【国药准字】。</w:t>
      </w:r>
    </w:p>
    <w:p w14:paraId="285C5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【用法用量】口服，每次3粒，每日3次，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服用1-2周，根据病情调整或遵医嘱。</w:t>
      </w:r>
    </w:p>
    <w:p w14:paraId="56CE5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推荐方药：化痰解毒汤加减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（服用1-2周，根据病情调整或遵医嘱）</w:t>
      </w:r>
    </w:p>
    <w:p w14:paraId="06D30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组    成：姜半夏15g、胆南星6g、鬼箭羽15g、鬼针草15g、韭菜子15g、白芥子15g、猫爪草15g、鲜松针30g。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val="en-US" w:eastAsia="zh-CN"/>
        </w:rPr>
        <w:t>2日1剂，水煎，每日分3次服。</w:t>
      </w:r>
    </w:p>
    <w:p w14:paraId="08E5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4.四恩苟播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（肝肾亏损证）</w:t>
      </w:r>
    </w:p>
    <w:p w14:paraId="7960C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治    法：补肝肾</w:t>
      </w:r>
    </w:p>
    <w:p w14:paraId="2E8EF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推荐方药：二草补虚汤加味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（服用1-2周，根据病情调整或遵医嘱）</w:t>
      </w:r>
    </w:p>
    <w:p w14:paraId="6C4CF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组    成：菊恩诗（千针万线草）20g、矣色阿（五气朝阳草）20g、小红参15g、马景牛（菟丝子）30g、矣猜猛（蔓荆子）15g、呆乃色（丹参）30g、硕搭帕（侧柏叶）8g、枸杞20g、当归15g。</w:t>
      </w:r>
      <w:r>
        <w:rPr>
          <w:rFonts w:hint="eastAsia" w:asciiTheme="minorEastAsia" w:hAnsiTheme="minorEastAsia" w:eastAsiaTheme="minorEastAsia" w:cstheme="minorEastAsia"/>
          <w:color w:val="00B050"/>
          <w:sz w:val="28"/>
          <w:szCs w:val="28"/>
          <w:lang w:val="en-US" w:eastAsia="zh-CN"/>
        </w:rPr>
        <w:t>2日1剂，水煎，每日分3次服。</w:t>
      </w:r>
    </w:p>
    <w:p w14:paraId="31FBE2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特色疗法</w:t>
      </w:r>
    </w:p>
    <w:p w14:paraId="7B0C29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  <w:t>以下疗法选其一或联合治疗。</w:t>
      </w:r>
    </w:p>
    <w:p w14:paraId="72A90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1.彝医固七（熏洗）技术[《楚雄州卫生健康委关于印发&lt;楚雄州彝医治疗技术目录（第三批）及彝医护理技术目录（第一批）&gt;的通知》（楚卫通〔2022〕28号）]</w:t>
      </w:r>
    </w:p>
    <w:p w14:paraId="659AE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适应症：适用于各证型。</w:t>
      </w:r>
    </w:p>
    <w:p w14:paraId="4034C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操作方法：借麦凶（透骨草）30g、硕搭帕（侧柏叶）30g，煎汤熏洗头皮，或用医院制剂深申清博青清[复方蛇黄洗剂(批准文号：滇药制字（Z）20082498E，执行标准滇ZJGF/2005-896),1:1兑温水熏洗，每日1次，每次熏洗20分钟。</w:t>
      </w:r>
    </w:p>
    <w:p w14:paraId="7D990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注意事项：熏洗时温度不宜过高，高血压患者在熏洗前需测量血压。</w:t>
      </w:r>
    </w:p>
    <w:p w14:paraId="03B04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2.彝医奴透（放风）技术[《楚雄州卫生健康委关于印发&lt;楚雄州彝医治疗技术目录（第三批）及彝医护理技术目录（第一批）&gt;的通知》（楚卫通〔2022〕28号）]</w:t>
      </w:r>
    </w:p>
    <w:p w14:paraId="770E3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适应症：适用于若染呵戏采苟斯丛能垛证（血热风毒证）、泽丛能垛证（湿热毒蕴证）。</w:t>
      </w:r>
    </w:p>
    <w:p w14:paraId="7DA23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操作方法：取患者舒适，且术者便于操作的体位，充分显露需要放血的手指。用止血带从上肢的最上近端逐次向肢体远端捆扎。捆扎的力度以输液时捆扎的力度相当，每次捆扎持续5秒钟，上一次与下一次的捆扎间隔距离为10厘米许，捆扎好第二道时，松开第一道，依次类推，直至腕部。捆扎完成后，在指尖碘伏消毒后，用三棱针快速刺入，再迅速出针,使针眼渗出血液数滴。手指的放血部位在十宣。</w:t>
      </w:r>
    </w:p>
    <w:p w14:paraId="3F7A8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注意事项：注意无菌操作，严密观察不良反应，及时处理。</w:t>
      </w:r>
    </w:p>
    <w:p w14:paraId="0B20C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禁忌症：患有梅毒、艾滋病等血液传染病患者。</w:t>
      </w:r>
    </w:p>
    <w:p w14:paraId="7AD9B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3.彝医斯透（放血）技术[《楚雄州卫生健康委关于印发&lt;楚雄州彝医治疗技术目录（第三批）及彝医护理技术目录（第一批）&gt;的通知》（楚卫通〔2022〕28号）]</w:t>
      </w:r>
    </w:p>
    <w:p w14:paraId="74B6F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操作方法：取患者舒适并便于操作的体位，充分显露放血部位或穴位。常规消毒后，用选好的放血锐器用点刺法刺破皮肤浅表（一次性点刺或连续点刺几次），使放血部位血液自然渗出少许（数滴或1~2毫升）即可。</w:t>
      </w:r>
    </w:p>
    <w:p w14:paraId="25AED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适应症：适用于斯丛能垛证（血热风毒证）、泽丛能垛证（湿热毒蕴证）若染呵戏采苟。</w:t>
      </w:r>
    </w:p>
    <w:p w14:paraId="301BD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禁忌症：患有梅毒、艾滋病等血液传染病患者。</w:t>
      </w:r>
    </w:p>
    <w:p w14:paraId="53DA5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4.彝医甲史（抓提）治疗技术[《楚雄州卫生健康委关于印发&lt;楚雄州彝医治疗技术目录（第三批）及彝医护理技术目录（第一批）&gt;的通知》（楚卫通〔2022〕28号）]</w:t>
      </w:r>
    </w:p>
    <w:p w14:paraId="3E3F5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适应症：适用于各型若染呵戏采苟。</w:t>
      </w:r>
    </w:p>
    <w:p w14:paraId="4E635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操作方法：患者取座位，头皮外涂姜柏生发酊（将鲜侧柏叶、鲜松针、姜黄、呆乃色（丹参）等药用酒精泡制成姜柏生发酊），术者用单手或双手，以拇指与食指、中指、无名指和小指对抓合力抓提头皮，抓力由轻而重逐渐使力，由重而轻慢慢停止，快速抓拿，缓慢抓提相结合，根据病情边提边抖动。根据患者的体质及耐受情况，控制治疗时间，手法每日1次，5~10分钟，5次为一个疗程</w:t>
      </w:r>
    </w:p>
    <w:p w14:paraId="01BC7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注意事项：要注意力量的控制，患者在饥饿时、饱餐后、醉酒后不宜治疗，不能用指甲着力，不要时轻时重，着力不均。</w:t>
      </w:r>
    </w:p>
    <w:p w14:paraId="14F7D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三、护理调摄</w:t>
      </w:r>
    </w:p>
    <w:p w14:paraId="69EC3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（一）生活起居</w:t>
      </w:r>
    </w:p>
    <w:p w14:paraId="0F8AD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1.规律作息，避免熬夜；保持情绪稳定，减少精神压力；适当运动，促进血液循环。</w:t>
      </w:r>
    </w:p>
    <w:p w14:paraId="23B46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2.使用温和洗发产品，避免过度清洁；洗头时避免水温过高，水温控制在37℃左右；洗发时轻柔按摩头皮，避免用力搔抓。</w:t>
      </w:r>
    </w:p>
    <w:p w14:paraId="2C1BA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3.减少染发、烫发频率，避免使用刺激性强的造型产品；避免频繁梳拉头发，选择宽齿梳子。</w:t>
      </w:r>
    </w:p>
    <w:p w14:paraId="70D83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（二）饮食调护</w:t>
      </w:r>
    </w:p>
    <w:p w14:paraId="2379A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1.营养补充：适量摄入富含蛋白质（如鱼类、豆类）、维生素B族（如坚果、全谷物）、锌（如牡蛎、瘦肉）的食物，促进毛发生长。</w:t>
      </w:r>
    </w:p>
    <w:p w14:paraId="381AD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2.避免高糖高脂：减少油炸食品、甜食摄入，降低头皮油脂分泌。</w:t>
      </w:r>
    </w:p>
    <w:p w14:paraId="75CEB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（三）心理疏导</w:t>
      </w:r>
    </w:p>
    <w:p w14:paraId="3BE2C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</w:t>
      </w: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脱发可能影响患者自信心，需给予心理支持，鼓励正确认识疾病，避免焦虑情绪。</w:t>
      </w:r>
    </w:p>
    <w:p w14:paraId="4EAC1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必要时可寻求心理咨询，缓解心理压力。</w:t>
      </w:r>
    </w:p>
    <w:p w14:paraId="558A8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（四）健康宣教</w:t>
      </w:r>
    </w:p>
    <w:p w14:paraId="4FA03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出现脱发问题要及时至正规医疗机构就诊，在专科医生指导下治疗。</w:t>
      </w:r>
    </w:p>
    <w:sectPr>
      <w:headerReference r:id="rId3" w:type="default"/>
      <w:pgSz w:w="11900" w:h="16840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5ECCA">
    <w:pPr>
      <w:pStyle w:val="3"/>
    </w:pPr>
    <w:r>
      <w:rPr>
        <w:sz w:val="18"/>
      </w:rPr>
      <w:pict>
        <v:shape id="PowerPlusWaterMarkObject18480" o:spid="_x0000_s2049" o:spt="136" type="#_x0000_t136" style="position:absolute;left:0pt;height:178.05pt;width:409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公示稿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BD7026"/>
    <w:multiLevelType w:val="singleLevel"/>
    <w:tmpl w:val="DBBD702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C6E99"/>
    <w:rsid w:val="0794462F"/>
    <w:rsid w:val="1EDF2EC9"/>
    <w:rsid w:val="2FD05A19"/>
    <w:rsid w:val="3FCF4F58"/>
    <w:rsid w:val="43CF3FFF"/>
    <w:rsid w:val="604C6E99"/>
    <w:rsid w:val="69F7401C"/>
    <w:rsid w:val="75DE2F6C"/>
    <w:rsid w:val="7AE3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2903</Words>
  <Characters>3108</Characters>
  <Lines>0</Lines>
  <Paragraphs>0</Paragraphs>
  <TotalTime>0</TotalTime>
  <ScaleCrop>false</ScaleCrop>
  <LinksUpToDate>false</LinksUpToDate>
  <CharactersWithSpaces>3172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2026-04-05T00:08:00Z</dcterms:created>
  <dc:creator>杨素娟</dc:creator>
  <cp:lastModifiedBy>丢丢</cp:lastModifiedBy>
  <dcterms:modified xsi:type="dcterms:W3CDTF">2026-04-28T01:22:45Z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E47B5114147148DE9246C4A84E3FA977_11</vt:lpwstr>
  </property>
  <property fmtid="{D5CDD505-2E9C-101B-9397-08002B2CF9AE}" pid="4" name="KSOTemplateDocerSaveRecord">
    <vt:lpwstr>eyJoZGlkIjoiZTgyZTNiOTczMmI4YjRhMDQ5ODQzOWQ1NDMxYjJmYTkiLCJ1c2VySWQiOiI1MTUwOTU1NTEifQ==</vt:lpwstr>
  </property>
</Properties>
</file>