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tag w:val="NEW_STAND_NAME"/>
        <w:id w:val="595910757"/>
        <w:lock w:val="sdtLocked"/>
        <w:placeholder>
          <w:docPart w:val="{e11e0d32-7089-4667-b7de-17d8fbd598f4}"/>
        </w:placeholder>
      </w:sdtPr>
      <w:sdtContent>
        <w:p w14:paraId="116DB904">
          <w:pPr>
            <w:pStyle w:val="4"/>
            <w:spacing w:before="240" w:beforeLines="100" w:after="528" w:afterLines="220"/>
          </w:pPr>
          <w:bookmarkStart w:id="343" w:name="_GoBack"/>
          <w:bookmarkStart w:id="0" w:name="NEW_STAND_NAME"/>
          <w:r>
            <w:rPr>
              <w:rFonts w:hint="eastAsia"/>
            </w:rPr>
            <w:t>勒爷黄标（新生儿黄疸）壮医诊疗方案</w:t>
          </w:r>
          <w:bookmarkEnd w:id="343"/>
        </w:p>
      </w:sdtContent>
    </w:sdt>
    <w:bookmarkEnd w:id="0"/>
    <w:p w14:paraId="70F9CCC0">
      <w:pPr>
        <w:pStyle w:val="5"/>
        <w:spacing w:before="240" w:after="240"/>
      </w:pPr>
      <w:bookmarkStart w:id="1" w:name="_Toc219921105"/>
      <w:bookmarkStart w:id="2" w:name="_Toc224594245"/>
      <w:bookmarkStart w:id="3" w:name="_Toc222611037"/>
      <w:bookmarkStart w:id="4" w:name="_Toc224536129"/>
      <w:bookmarkStart w:id="5" w:name="_Toc224754558"/>
      <w:bookmarkStart w:id="6" w:name="_Toc224664462"/>
      <w:bookmarkStart w:id="7" w:name="_Toc222594006"/>
      <w:bookmarkStart w:id="8" w:name="_Toc216087001"/>
      <w:bookmarkStart w:id="9" w:name="_Toc225706334"/>
      <w:bookmarkStart w:id="10" w:name="_Toc219834989"/>
      <w:bookmarkStart w:id="11" w:name="_Toc216087480"/>
      <w:bookmarkStart w:id="12" w:name="_Toc224583081"/>
      <w:bookmarkStart w:id="13" w:name="_Toc220007717"/>
      <w:bookmarkStart w:id="14" w:name="_Toc224536110"/>
      <w:bookmarkStart w:id="15" w:name="_Toc222863994"/>
      <w:bookmarkStart w:id="16" w:name="_Toc214051469"/>
      <w:bookmarkStart w:id="17" w:name="_Toc224752763"/>
      <w:bookmarkStart w:id="18" w:name="_Toc224584379"/>
      <w:bookmarkStart w:id="19" w:name="_Toc224575523"/>
      <w:bookmarkStart w:id="20" w:name="_Toc215428680"/>
      <w:bookmarkStart w:id="21" w:name="_Toc216441880"/>
      <w:bookmarkStart w:id="22" w:name="_Toc214277857"/>
      <w:r>
        <w:rPr>
          <w:rFonts w:hint="eastAsia"/>
        </w:rPr>
        <w:t>诊断</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5E15E1">
      <w:pPr>
        <w:pStyle w:val="6"/>
        <w:ind w:firstLine="420"/>
      </w:pPr>
      <w:r>
        <w:rPr>
          <w:rFonts w:hint="eastAsia"/>
        </w:rPr>
        <w:t>新生儿黄疸（</w:t>
      </w:r>
      <w:r>
        <w:rPr>
          <w:rFonts w:ascii="Times New Roman"/>
        </w:rPr>
        <w:t>neonatal jaundice</w:t>
      </w:r>
      <w:r>
        <w:rPr>
          <w:rFonts w:hint="eastAsia"/>
        </w:rPr>
        <w:t>）,也称为新生儿高胆红素血症（</w:t>
      </w:r>
      <w:r>
        <w:rPr>
          <w:rFonts w:ascii="Times New Roman"/>
        </w:rPr>
        <w:t>hyperbilirubinemia of newbom</w:t>
      </w:r>
      <w:r>
        <w:rPr>
          <w:rFonts w:hint="eastAsia"/>
        </w:rPr>
        <w:t>）,是因胆红素在体内积聚引起的皮肤或其他器官黄染，是新生儿期最常见的临床问题。</w:t>
      </w:r>
      <w:r>
        <w:t xml:space="preserve"> </w:t>
      </w:r>
    </w:p>
    <w:p w14:paraId="4F105A34">
      <w:pPr>
        <w:pStyle w:val="7"/>
        <w:spacing w:before="120" w:after="120"/>
      </w:pPr>
      <w:bookmarkStart w:id="23" w:name="_Toc219834991"/>
      <w:bookmarkStart w:id="24" w:name="_Toc224594246"/>
      <w:bookmarkStart w:id="25" w:name="_Toc216087003"/>
      <w:bookmarkStart w:id="26" w:name="_Toc224752764"/>
      <w:bookmarkStart w:id="27" w:name="_Toc222594008"/>
      <w:bookmarkStart w:id="28" w:name="_Toc224583082"/>
      <w:bookmarkStart w:id="29" w:name="_Toc222863996"/>
      <w:bookmarkStart w:id="30" w:name="_Toc222611039"/>
      <w:bookmarkStart w:id="31" w:name="_Toc216087482"/>
      <w:bookmarkStart w:id="32" w:name="_Toc224575524"/>
      <w:bookmarkStart w:id="33" w:name="_Toc214051471"/>
      <w:bookmarkStart w:id="34" w:name="_Toc214277859"/>
      <w:bookmarkStart w:id="35" w:name="_Toc224536111"/>
      <w:bookmarkStart w:id="36" w:name="_Toc220007719"/>
      <w:bookmarkStart w:id="37" w:name="_Toc215428682"/>
      <w:bookmarkStart w:id="38" w:name="_Toc225706335"/>
      <w:bookmarkStart w:id="39" w:name="_Toc219921107"/>
      <w:bookmarkStart w:id="40" w:name="_Toc224664463"/>
      <w:bookmarkStart w:id="41" w:name="_Toc224754559"/>
      <w:bookmarkStart w:id="42" w:name="_Toc224584380"/>
      <w:bookmarkStart w:id="43" w:name="_Toc224536130"/>
      <w:bookmarkStart w:id="44" w:name="_Toc216441882"/>
      <w:r>
        <w:rPr>
          <w:rFonts w:hint="eastAsia"/>
        </w:rPr>
        <w:t>疾病诊断</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E1B178">
      <w:pPr>
        <w:pStyle w:val="8"/>
        <w:spacing w:before="120" w:after="120"/>
        <w:ind w:left="0"/>
      </w:pPr>
      <w:bookmarkStart w:id="45" w:name="_Toc224594247"/>
      <w:bookmarkStart w:id="46" w:name="_Toc224583083"/>
      <w:bookmarkStart w:id="47" w:name="_Toc224752765"/>
      <w:bookmarkStart w:id="48" w:name="_Toc224664464"/>
      <w:bookmarkStart w:id="49" w:name="_Toc224536131"/>
      <w:bookmarkStart w:id="50" w:name="_Toc224754560"/>
      <w:bookmarkStart w:id="51" w:name="_Toc225706336"/>
      <w:bookmarkStart w:id="52" w:name="_Toc224584381"/>
      <w:bookmarkStart w:id="53" w:name="_Toc224575525"/>
      <w:r>
        <w:t>壮医诊断标准</w:t>
      </w:r>
      <w:bookmarkEnd w:id="45"/>
      <w:bookmarkEnd w:id="46"/>
      <w:bookmarkEnd w:id="47"/>
      <w:bookmarkEnd w:id="48"/>
      <w:bookmarkEnd w:id="49"/>
      <w:bookmarkEnd w:id="50"/>
      <w:bookmarkEnd w:id="51"/>
      <w:bookmarkEnd w:id="52"/>
      <w:bookmarkEnd w:id="53"/>
    </w:p>
    <w:p w14:paraId="25D1CA10">
      <w:pPr>
        <w:pStyle w:val="6"/>
        <w:ind w:firstLine="420"/>
      </w:pPr>
      <w:r>
        <w:rPr>
          <w:rFonts w:hint="eastAsia"/>
        </w:rPr>
        <w:t>主症：新生儿皮肤、脸、眼睛发黄，颜色鲜明或晦暗。</w:t>
      </w:r>
    </w:p>
    <w:p w14:paraId="7A4A723E">
      <w:pPr>
        <w:pStyle w:val="6"/>
        <w:ind w:firstLine="420"/>
      </w:pPr>
      <w:r>
        <w:rPr>
          <w:rFonts w:hint="eastAsia"/>
        </w:rPr>
        <w:t>兼症：精神尚可或精神疲乏，发热或四肢欠温，小便深黄，大便干结或溏烂，可呈灰白。</w:t>
      </w:r>
    </w:p>
    <w:p w14:paraId="1C386BBE">
      <w:pPr>
        <w:pStyle w:val="6"/>
        <w:ind w:firstLine="420"/>
      </w:pPr>
      <w:r>
        <w:rPr>
          <w:rFonts w:hint="eastAsia"/>
        </w:rPr>
        <w:t>舌象：舌质红，苔黄腻，指纹滞；或舌质淡，苔白腻；或舌见瘀点，舌苔黄。</w:t>
      </w:r>
    </w:p>
    <w:p w14:paraId="74568A0D">
      <w:pPr>
        <w:pStyle w:val="6"/>
        <w:ind w:firstLine="420"/>
      </w:pPr>
      <w:r>
        <w:rPr>
          <w:rFonts w:hint="eastAsia"/>
        </w:rPr>
        <w:t>目诊：白睛微黄；或深黄色鲜明如橘；或晦暗如烟熏。</w:t>
      </w:r>
    </w:p>
    <w:p w14:paraId="0A7EBF83">
      <w:pPr>
        <w:pStyle w:val="6"/>
        <w:ind w:firstLine="420"/>
      </w:pPr>
      <w:r>
        <w:rPr>
          <w:rFonts w:hint="eastAsia"/>
        </w:rPr>
        <w:t>甲诊：甲床颜色微黄，指甲润泽；或甲床深黄、色鲜明；或甲色黄而晦暗、甲下色暗。</w:t>
      </w:r>
    </w:p>
    <w:p w14:paraId="4519BA77">
      <w:pPr>
        <w:pStyle w:val="6"/>
        <w:ind w:firstLine="420"/>
      </w:pPr>
      <w:r>
        <w:rPr>
          <w:rFonts w:hint="eastAsia"/>
        </w:rPr>
        <w:t>参照《壮医内儿科学》（庞宇舟、李伟伟主编，中国中医药出版社，2018年）、《壮医病证诊疗规范》（钟鸣主编，广西科学技术出版社，2016年）、《壮医诊断学》（林伟刚主编，广西科学技术出版社，2007年）。</w:t>
      </w:r>
    </w:p>
    <w:p w14:paraId="771A267B">
      <w:pPr>
        <w:pStyle w:val="8"/>
        <w:spacing w:before="120" w:after="120"/>
        <w:ind w:left="0"/>
      </w:pPr>
      <w:bookmarkStart w:id="54" w:name="_Toc224583084"/>
      <w:bookmarkStart w:id="55" w:name="_Toc224594248"/>
      <w:bookmarkStart w:id="56" w:name="_Toc224575526"/>
      <w:bookmarkStart w:id="57" w:name="_Toc224536132"/>
      <w:bookmarkStart w:id="58" w:name="_Toc224754561"/>
      <w:bookmarkStart w:id="59" w:name="_Toc224664465"/>
      <w:bookmarkStart w:id="60" w:name="_Toc225706337"/>
      <w:bookmarkStart w:id="61" w:name="_Toc224584382"/>
      <w:bookmarkStart w:id="62" w:name="_Toc224752766"/>
      <w:r>
        <w:rPr>
          <w:rFonts w:hint="eastAsia"/>
        </w:rPr>
        <w:t>西医诊断标准</w:t>
      </w:r>
      <w:bookmarkEnd w:id="54"/>
      <w:bookmarkEnd w:id="55"/>
      <w:bookmarkEnd w:id="56"/>
      <w:bookmarkEnd w:id="57"/>
      <w:bookmarkEnd w:id="58"/>
      <w:bookmarkEnd w:id="59"/>
      <w:bookmarkEnd w:id="60"/>
      <w:bookmarkEnd w:id="61"/>
      <w:bookmarkEnd w:id="62"/>
    </w:p>
    <w:p w14:paraId="5EB08C70">
      <w:pPr>
        <w:pStyle w:val="9"/>
        <w:numPr>
          <w:ilvl w:val="0"/>
          <w:numId w:val="0"/>
        </w:numPr>
        <w:ind w:firstLine="420" w:firstLineChars="200"/>
      </w:pPr>
      <w:r>
        <w:rPr>
          <w:rFonts w:hint="eastAsia"/>
        </w:rPr>
        <w:t>（1）生后24小时内出现黄疸。</w:t>
      </w:r>
    </w:p>
    <w:p w14:paraId="32321224">
      <w:pPr>
        <w:pStyle w:val="9"/>
        <w:numPr>
          <w:ilvl w:val="0"/>
          <w:numId w:val="0"/>
        </w:numPr>
        <w:ind w:firstLine="420" w:firstLineChars="200"/>
      </w:pPr>
      <w:r>
        <w:rPr>
          <w:rFonts w:hint="eastAsia"/>
        </w:rPr>
        <w:t>（2）血清总胆红素值已达到相应理性黄疸日龄及相应危险因素下的光疗干预标准（见附录A 图1）；或超过小时胆红素风险曲线的第95百分位数（见附录A 图2）；或胆红素每日上升超过85umol/L(5mg/dl)或每小时&gt;0.5mg/dL。</w:t>
      </w:r>
    </w:p>
    <w:p w14:paraId="406BE5E2">
      <w:pPr>
        <w:pStyle w:val="9"/>
        <w:numPr>
          <w:ilvl w:val="0"/>
          <w:numId w:val="0"/>
        </w:numPr>
        <w:ind w:firstLine="420" w:firstLineChars="200"/>
      </w:pPr>
      <w:r>
        <w:rPr>
          <w:rFonts w:hint="eastAsia"/>
        </w:rPr>
        <w:t>（3）黄疸持续时间长，月儿&gt;2周，早产儿&gt;4周。</w:t>
      </w:r>
    </w:p>
    <w:p w14:paraId="6B866059">
      <w:pPr>
        <w:pStyle w:val="9"/>
        <w:numPr>
          <w:ilvl w:val="0"/>
          <w:numId w:val="0"/>
        </w:numPr>
        <w:ind w:firstLine="420" w:firstLineChars="200"/>
      </w:pPr>
      <w:r>
        <w:rPr>
          <w:rFonts w:hint="eastAsia"/>
        </w:rPr>
        <w:t>（4）黄疸退而复现。</w:t>
      </w:r>
    </w:p>
    <w:p w14:paraId="11DE2504">
      <w:pPr>
        <w:pStyle w:val="9"/>
        <w:numPr>
          <w:ilvl w:val="0"/>
          <w:numId w:val="0"/>
        </w:numPr>
        <w:ind w:firstLine="420" w:firstLineChars="200"/>
      </w:pPr>
      <w:r>
        <w:rPr>
          <w:rFonts w:hint="eastAsia"/>
        </w:rPr>
        <w:t>（5）血清结合胆红素＞34umol/L(2mg/dl)。</w:t>
      </w:r>
    </w:p>
    <w:p w14:paraId="5FDC4A85">
      <w:pPr>
        <w:pStyle w:val="9"/>
        <w:numPr>
          <w:ilvl w:val="0"/>
          <w:numId w:val="0"/>
        </w:numPr>
        <w:autoSpaceDN w:val="0"/>
        <w:ind w:firstLine="420" w:firstLineChars="200"/>
      </w:pPr>
      <w:r>
        <w:rPr>
          <w:rFonts w:hint="eastAsia"/>
        </w:rPr>
        <w:t>参照《儿科学》第10版第六章第十一节新生儿黄疸（黄国英、孙锟、罗小平主编，人民卫生出版社，2024年）、《诸福棠实用儿科学》第9版第十四章第12节新生儿高胆红素血症（王天有,申昆玲,沈颖主编,人民卫生出版社，2022年）、《实用新生儿学》（邵肖梅著，人民卫生出版社，2019）以及2022年《临床实践指南：妊娠35周或以上新生儿高胆红素血症的管理（修订版）》制定。</w:t>
      </w:r>
    </w:p>
    <w:p w14:paraId="1463ED98">
      <w:pPr>
        <w:pStyle w:val="7"/>
        <w:spacing w:before="120" w:after="120"/>
      </w:pPr>
      <w:bookmarkStart w:id="63" w:name="_Toc220007720"/>
      <w:bookmarkStart w:id="64" w:name="_Toc224594249"/>
      <w:bookmarkStart w:id="65" w:name="_Toc214051473"/>
      <w:bookmarkStart w:id="66" w:name="_Toc225706338"/>
      <w:bookmarkStart w:id="67" w:name="_Toc224575527"/>
      <w:bookmarkStart w:id="68" w:name="_Toc219921108"/>
      <w:bookmarkStart w:id="69" w:name="_Toc224536133"/>
      <w:bookmarkStart w:id="70" w:name="_Toc224584383"/>
      <w:bookmarkStart w:id="71" w:name="_Toc224754562"/>
      <w:bookmarkStart w:id="72" w:name="_Toc214277861"/>
      <w:bookmarkStart w:id="73" w:name="_Toc224536112"/>
      <w:bookmarkStart w:id="74" w:name="_Toc224752767"/>
      <w:bookmarkStart w:id="75" w:name="_Toc222611040"/>
      <w:bookmarkStart w:id="76" w:name="_Toc216087005"/>
      <w:bookmarkStart w:id="77" w:name="_Toc216087483"/>
      <w:bookmarkStart w:id="78" w:name="_Toc222594009"/>
      <w:bookmarkStart w:id="79" w:name="_Toc216441883"/>
      <w:bookmarkStart w:id="80" w:name="_Toc222863997"/>
      <w:bookmarkStart w:id="81" w:name="_Toc224583085"/>
      <w:bookmarkStart w:id="82" w:name="_Toc224664466"/>
      <w:bookmarkStart w:id="83" w:name="_Toc215428684"/>
      <w:bookmarkStart w:id="84" w:name="_Toc219834992"/>
      <w:r>
        <w:rPr>
          <w:rFonts w:hint="eastAsia"/>
        </w:rPr>
        <w:t>证候分型</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90C9BE6">
      <w:pPr>
        <w:pStyle w:val="8"/>
        <w:spacing w:before="120" w:after="120"/>
        <w:ind w:left="0"/>
      </w:pPr>
      <w:bookmarkStart w:id="85" w:name="_Toc222863998"/>
      <w:bookmarkStart w:id="86" w:name="_Toc214051475"/>
      <w:bookmarkStart w:id="87" w:name="_Toc224536134"/>
      <w:bookmarkStart w:id="88" w:name="_Toc222611041"/>
      <w:bookmarkStart w:id="89" w:name="_Toc216087484"/>
      <w:bookmarkStart w:id="90" w:name="_Toc216441884"/>
      <w:bookmarkStart w:id="91" w:name="_Toc219921109"/>
      <w:bookmarkStart w:id="92" w:name="_Toc219834993"/>
      <w:bookmarkStart w:id="93" w:name="_Toc222594010"/>
      <w:bookmarkStart w:id="94" w:name="_Toc216087006"/>
      <w:bookmarkStart w:id="95" w:name="_Toc224664467"/>
      <w:bookmarkStart w:id="96" w:name="_Toc225706339"/>
      <w:bookmarkStart w:id="97" w:name="_Toc214277863"/>
      <w:bookmarkStart w:id="98" w:name="_Toc224584384"/>
      <w:bookmarkStart w:id="99" w:name="_Toc224752768"/>
      <w:bookmarkStart w:id="100" w:name="_Toc224594250"/>
      <w:bookmarkStart w:id="101" w:name="_Toc224575528"/>
      <w:bookmarkStart w:id="102" w:name="_Toc215428686"/>
      <w:bookmarkStart w:id="103" w:name="_Toc224754563"/>
      <w:bookmarkStart w:id="104" w:name="_Toc224583086"/>
      <w:bookmarkStart w:id="105" w:name="_Toc220007721"/>
      <w:r>
        <w:rPr>
          <w:rFonts w:hint="eastAsia"/>
        </w:rPr>
        <w:t>毒证</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4746654">
      <w:pPr>
        <w:pStyle w:val="6"/>
        <w:ind w:firstLine="420"/>
      </w:pPr>
      <w:r>
        <w:rPr>
          <w:rFonts w:hint="eastAsia"/>
        </w:rPr>
        <w:t>（1）</w:t>
      </w:r>
      <w:r>
        <w:rPr>
          <w:rFonts w:hint="eastAsia" w:ascii="黑体" w:eastAsia="黑体"/>
        </w:rPr>
        <w:t>阳证</w:t>
      </w:r>
    </w:p>
    <w:p w14:paraId="4ABB5E66">
      <w:pPr>
        <w:pStyle w:val="6"/>
        <w:ind w:firstLine="0" w:firstLineChars="0"/>
      </w:pPr>
      <w:r>
        <w:rPr>
          <w:rFonts w:hint="eastAsia"/>
        </w:rPr>
        <w:t>——主症：皮肤、脸、眼睛发黄，颜色鲜明如橘，哭声响亮，不欲吮乳，口渴唇干，或有发热，大便秘结，小便深黄。</w:t>
      </w:r>
    </w:p>
    <w:p w14:paraId="7CA1CE5D">
      <w:pPr>
        <w:pStyle w:val="6"/>
        <w:ind w:firstLine="0" w:firstLineChars="0"/>
      </w:pPr>
      <w:r>
        <w:rPr>
          <w:rFonts w:hint="eastAsia"/>
        </w:rPr>
        <w:t>——次症：舌质红，苔黄腻，指纹滞。</w:t>
      </w:r>
    </w:p>
    <w:p w14:paraId="1C5D3847">
      <w:pPr>
        <w:pStyle w:val="6"/>
        <w:ind w:firstLine="420"/>
      </w:pPr>
      <w:r>
        <w:rPr>
          <w:rFonts w:hint="eastAsia"/>
        </w:rPr>
        <w:t>（1）</w:t>
      </w:r>
      <w:r>
        <w:rPr>
          <w:rFonts w:hint="eastAsia" w:ascii="黑体" w:eastAsia="黑体"/>
        </w:rPr>
        <w:t>阴证</w:t>
      </w:r>
    </w:p>
    <w:p w14:paraId="7AE3BEC0">
      <w:pPr>
        <w:pStyle w:val="6"/>
        <w:ind w:firstLine="0" w:firstLineChars="0"/>
      </w:pPr>
      <w:r>
        <w:rPr>
          <w:rFonts w:hint="eastAsia"/>
        </w:rPr>
        <w:t>——主症：皮肤、脸、眼睛发黄，色泽晦暗，持久不退，精神萎靡，四肢欠温，纳呆，大便溏薄色灰白，小便短少。</w:t>
      </w:r>
    </w:p>
    <w:p w14:paraId="5A15CA10">
      <w:pPr>
        <w:pStyle w:val="6"/>
        <w:ind w:firstLine="0" w:firstLineChars="0"/>
      </w:pPr>
      <w:r>
        <w:rPr>
          <w:rFonts w:hint="eastAsia"/>
        </w:rPr>
        <w:t>——次症：舌质淡，舌苔白腻，指纹浮淡红。</w:t>
      </w:r>
    </w:p>
    <w:p w14:paraId="73D286F3">
      <w:pPr>
        <w:pStyle w:val="8"/>
        <w:spacing w:before="120" w:after="120"/>
        <w:ind w:left="0"/>
      </w:pPr>
      <w:bookmarkStart w:id="106" w:name="_Toc219834994"/>
      <w:bookmarkStart w:id="107" w:name="_Toc222594011"/>
      <w:bookmarkStart w:id="108" w:name="_Toc224583087"/>
      <w:bookmarkStart w:id="109" w:name="_Toc216087007"/>
      <w:bookmarkStart w:id="110" w:name="_Toc224752769"/>
      <w:bookmarkStart w:id="111" w:name="_Toc224536135"/>
      <w:bookmarkStart w:id="112" w:name="_Toc214277864"/>
      <w:bookmarkStart w:id="113" w:name="_Toc224754564"/>
      <w:bookmarkStart w:id="114" w:name="_Toc224584385"/>
      <w:bookmarkStart w:id="115" w:name="_Toc219921110"/>
      <w:bookmarkStart w:id="116" w:name="_Toc225706340"/>
      <w:bookmarkStart w:id="117" w:name="_Toc215428687"/>
      <w:bookmarkStart w:id="118" w:name="_Toc216087485"/>
      <w:bookmarkStart w:id="119" w:name="_Toc224575529"/>
      <w:bookmarkStart w:id="120" w:name="_Toc224594251"/>
      <w:bookmarkStart w:id="121" w:name="_Toc214051476"/>
      <w:bookmarkStart w:id="122" w:name="_Toc224664468"/>
      <w:bookmarkStart w:id="123" w:name="_Toc222611042"/>
      <w:bookmarkStart w:id="124" w:name="_Toc216441885"/>
      <w:bookmarkStart w:id="125" w:name="_Toc220007722"/>
      <w:bookmarkStart w:id="126" w:name="_Toc222863999"/>
      <w:r>
        <w:rPr>
          <w:rFonts w:hint="eastAsia"/>
        </w:rPr>
        <w:t>虚证</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07EFA0E">
      <w:pPr>
        <w:pStyle w:val="10"/>
        <w:ind w:left="424" w:hanging="424" w:hangingChars="202"/>
      </w:pPr>
      <w:r>
        <w:rPr>
          <w:rFonts w:hint="eastAsia"/>
        </w:rPr>
        <w:t>主症：黄疸迅速加重，伴面色苍黄、浮肿、气促、神昏、四肢厥冷、胸腹欠温。</w:t>
      </w:r>
    </w:p>
    <w:p w14:paraId="2614D71B">
      <w:pPr>
        <w:pStyle w:val="10"/>
        <w:numPr>
          <w:ilvl w:val="0"/>
          <w:numId w:val="0"/>
        </w:numPr>
        <w:ind w:left="424" w:hanging="424" w:hangingChars="202"/>
      </w:pPr>
      <w:r>
        <w:rPr>
          <w:rFonts w:hint="eastAsia"/>
        </w:rPr>
        <w:t>——次症：舌淡苔白，指纹淡。</w:t>
      </w:r>
    </w:p>
    <w:p w14:paraId="4A7343E8">
      <w:pPr>
        <w:pStyle w:val="5"/>
        <w:spacing w:before="240" w:after="240"/>
      </w:pPr>
      <w:bookmarkStart w:id="127" w:name="_Toc215428690"/>
      <w:bookmarkStart w:id="128" w:name="_Toc216087488"/>
      <w:bookmarkStart w:id="129" w:name="_Toc219834997"/>
      <w:bookmarkStart w:id="130" w:name="_Toc222611046"/>
      <w:bookmarkStart w:id="131" w:name="_Toc220007725"/>
      <w:bookmarkStart w:id="132" w:name="_Toc214051479"/>
      <w:bookmarkStart w:id="133" w:name="_Toc219921113"/>
      <w:bookmarkStart w:id="134" w:name="_Toc216087010"/>
      <w:bookmarkStart w:id="135" w:name="_Toc214277867"/>
      <w:bookmarkStart w:id="136" w:name="_Toc216441888"/>
      <w:bookmarkStart w:id="137" w:name="_Toc222864003"/>
      <w:bookmarkStart w:id="138" w:name="_Toc222594015"/>
      <w:bookmarkStart w:id="139" w:name="_Toc225706341"/>
      <w:bookmarkStart w:id="140" w:name="_Toc224594252"/>
      <w:bookmarkStart w:id="141" w:name="_Toc224754565"/>
      <w:bookmarkStart w:id="142" w:name="_Toc224584386"/>
      <w:bookmarkStart w:id="143" w:name="_Toc224583088"/>
      <w:bookmarkStart w:id="144" w:name="_Toc224664469"/>
      <w:bookmarkStart w:id="145" w:name="_Toc224752770"/>
      <w:bookmarkStart w:id="146" w:name="_Toc224536136"/>
      <w:bookmarkStart w:id="147" w:name="_Toc224536113"/>
      <w:bookmarkStart w:id="148" w:name="_Toc224575530"/>
      <w:r>
        <w:rPr>
          <w:rFonts w:hint="eastAsia"/>
        </w:rPr>
        <w:t>治疗方</w:t>
      </w:r>
      <w:bookmarkEnd w:id="127"/>
      <w:bookmarkEnd w:id="128"/>
      <w:bookmarkEnd w:id="129"/>
      <w:bookmarkEnd w:id="130"/>
      <w:bookmarkEnd w:id="131"/>
      <w:bookmarkEnd w:id="132"/>
      <w:bookmarkEnd w:id="133"/>
      <w:bookmarkEnd w:id="134"/>
      <w:bookmarkEnd w:id="135"/>
      <w:bookmarkEnd w:id="136"/>
      <w:bookmarkEnd w:id="137"/>
      <w:bookmarkEnd w:id="138"/>
      <w:r>
        <w:rPr>
          <w:rFonts w:hint="eastAsia"/>
        </w:rPr>
        <w:t>法</w:t>
      </w:r>
      <w:bookmarkEnd w:id="139"/>
      <w:bookmarkEnd w:id="140"/>
      <w:bookmarkEnd w:id="141"/>
      <w:bookmarkEnd w:id="142"/>
      <w:bookmarkEnd w:id="143"/>
      <w:bookmarkEnd w:id="144"/>
      <w:bookmarkEnd w:id="145"/>
      <w:bookmarkEnd w:id="146"/>
      <w:bookmarkEnd w:id="147"/>
      <w:bookmarkEnd w:id="148"/>
    </w:p>
    <w:p w14:paraId="56E7A33A">
      <w:pPr>
        <w:pStyle w:val="7"/>
        <w:spacing w:before="120" w:after="120"/>
      </w:pPr>
      <w:bookmarkStart w:id="149" w:name="_Toc224754566"/>
      <w:bookmarkStart w:id="150" w:name="_Toc224583089"/>
      <w:bookmarkStart w:id="151" w:name="_Toc224536137"/>
      <w:bookmarkStart w:id="152" w:name="_Toc224536114"/>
      <w:bookmarkStart w:id="153" w:name="_Toc225706342"/>
      <w:bookmarkStart w:id="154" w:name="_Toc224584387"/>
      <w:bookmarkStart w:id="155" w:name="_Toc224664470"/>
      <w:bookmarkStart w:id="156" w:name="_Toc224594253"/>
      <w:bookmarkStart w:id="157" w:name="_Toc224575531"/>
      <w:bookmarkStart w:id="158" w:name="_Toc224752771"/>
      <w:bookmarkStart w:id="159" w:name="_Toc219834998"/>
      <w:bookmarkStart w:id="160" w:name="_Toc215428691"/>
      <w:bookmarkStart w:id="161" w:name="_Toc222611047"/>
      <w:bookmarkStart w:id="162" w:name="_Toc220007726"/>
      <w:bookmarkStart w:id="163" w:name="_Toc216087011"/>
      <w:bookmarkStart w:id="164" w:name="_Toc214277868"/>
      <w:bookmarkStart w:id="165" w:name="_Toc222594016"/>
      <w:bookmarkStart w:id="166" w:name="_Toc216087489"/>
      <w:bookmarkStart w:id="167" w:name="_Toc216441889"/>
      <w:bookmarkStart w:id="168" w:name="_Toc219921114"/>
      <w:bookmarkStart w:id="169" w:name="_Toc222864004"/>
      <w:bookmarkStart w:id="170" w:name="_Toc214051480"/>
      <w:r>
        <w:rPr>
          <w:rFonts w:hint="eastAsia"/>
        </w:rPr>
        <w:t>内治法</w:t>
      </w:r>
      <w:bookmarkEnd w:id="149"/>
      <w:bookmarkEnd w:id="150"/>
      <w:bookmarkEnd w:id="151"/>
      <w:bookmarkEnd w:id="152"/>
      <w:bookmarkEnd w:id="153"/>
      <w:bookmarkEnd w:id="154"/>
      <w:bookmarkEnd w:id="155"/>
      <w:bookmarkEnd w:id="156"/>
      <w:bookmarkEnd w:id="157"/>
      <w:bookmarkEnd w:id="158"/>
    </w:p>
    <w:p w14:paraId="558282F5">
      <w:pPr>
        <w:pStyle w:val="8"/>
        <w:spacing w:before="120" w:after="120"/>
        <w:ind w:left="0"/>
      </w:pPr>
      <w:bookmarkStart w:id="171" w:name="_Toc224583090"/>
      <w:bookmarkStart w:id="172" w:name="_Toc225706343"/>
      <w:bookmarkStart w:id="173" w:name="_Toc224754567"/>
      <w:bookmarkStart w:id="174" w:name="_Toc224536138"/>
      <w:bookmarkStart w:id="175" w:name="_Toc224752772"/>
      <w:bookmarkStart w:id="176" w:name="_Toc224664471"/>
      <w:bookmarkStart w:id="177" w:name="_Toc224594254"/>
      <w:bookmarkStart w:id="178" w:name="_Toc224575532"/>
      <w:bookmarkStart w:id="179" w:name="_Toc224584388"/>
      <w:r>
        <w:rPr>
          <w:rFonts w:hint="eastAsia"/>
        </w:rPr>
        <w:t>毒证</w:t>
      </w:r>
      <w:bookmarkEnd w:id="159"/>
      <w:bookmarkEnd w:id="160"/>
      <w:bookmarkEnd w:id="161"/>
      <w:bookmarkEnd w:id="162"/>
      <w:bookmarkEnd w:id="163"/>
      <w:bookmarkEnd w:id="164"/>
      <w:bookmarkEnd w:id="165"/>
      <w:bookmarkEnd w:id="166"/>
      <w:bookmarkEnd w:id="167"/>
      <w:bookmarkEnd w:id="168"/>
      <w:bookmarkEnd w:id="169"/>
      <w:bookmarkEnd w:id="171"/>
      <w:bookmarkEnd w:id="172"/>
      <w:bookmarkEnd w:id="173"/>
      <w:bookmarkEnd w:id="174"/>
      <w:bookmarkEnd w:id="175"/>
      <w:bookmarkEnd w:id="176"/>
      <w:bookmarkEnd w:id="177"/>
      <w:bookmarkEnd w:id="178"/>
      <w:bookmarkEnd w:id="179"/>
    </w:p>
    <w:p w14:paraId="557729EC">
      <w:pPr>
        <w:pStyle w:val="6"/>
        <w:ind w:firstLine="420"/>
      </w:pPr>
      <w:r>
        <w:rPr>
          <w:rFonts w:hint="eastAsia"/>
        </w:rPr>
        <w:t>（1）</w:t>
      </w:r>
      <w:r>
        <w:rPr>
          <w:rFonts w:hint="eastAsia" w:ascii="黑体" w:eastAsia="黑体"/>
        </w:rPr>
        <w:t>阳证</w:t>
      </w:r>
    </w:p>
    <w:bookmarkEnd w:id="170"/>
    <w:p w14:paraId="5816B107">
      <w:pPr>
        <w:pStyle w:val="10"/>
        <w:numPr>
          <w:ilvl w:val="0"/>
          <w:numId w:val="0"/>
        </w:numPr>
        <w:autoSpaceDN w:val="0"/>
        <w:adjustRightInd w:val="0"/>
      </w:pPr>
      <w:r>
        <w:rPr>
          <w:rFonts w:hint="eastAsia"/>
        </w:rPr>
        <w:t>——治则：清热毒，祛湿毒，退黄。</w:t>
      </w:r>
    </w:p>
    <w:p w14:paraId="2C133D15">
      <w:pPr>
        <w:pStyle w:val="10"/>
        <w:numPr>
          <w:ilvl w:val="0"/>
          <w:numId w:val="0"/>
        </w:numPr>
        <w:autoSpaceDN w:val="0"/>
        <w:adjustRightInd w:val="0"/>
      </w:pPr>
      <w:r>
        <w:rPr>
          <w:rFonts w:hint="eastAsia"/>
        </w:rPr>
        <w:t>——推荐方药：清热退黄汤（壮医经验方），服用3</w:t>
      </w:r>
      <w:r>
        <w:rPr>
          <w:rFonts w:ascii="Times New Roman"/>
        </w:rPr>
        <w:t>~</w:t>
      </w:r>
      <w:r>
        <w:rPr>
          <w:rFonts w:hint="eastAsia"/>
        </w:rPr>
        <w:t>5天，根据病情调方或遵医嘱。</w:t>
      </w:r>
    </w:p>
    <w:p w14:paraId="7FA4BB87">
      <w:pPr>
        <w:pStyle w:val="10"/>
        <w:numPr>
          <w:ilvl w:val="0"/>
          <w:numId w:val="0"/>
        </w:numPr>
        <w:autoSpaceDN w:val="0"/>
        <w:adjustRightInd w:val="0"/>
      </w:pPr>
      <w:r>
        <w:rPr>
          <w:rFonts w:hint="eastAsia"/>
        </w:rPr>
        <w:t>——常用药：棵共给（鸡骨草）、十两叶、南板蓝根、美黄连（十大功劳）、棵凛给（蒲公英）（药物比例10：10：6：3：3），每日1剂，水煎服。</w:t>
      </w:r>
    </w:p>
    <w:p w14:paraId="5F681721">
      <w:pPr>
        <w:pStyle w:val="10"/>
        <w:numPr>
          <w:ilvl w:val="0"/>
          <w:numId w:val="0"/>
        </w:numPr>
        <w:autoSpaceDN w:val="0"/>
        <w:adjustRightInd w:val="0"/>
        <w:rPr>
          <w:rFonts w:hint="eastAsia"/>
        </w:rPr>
      </w:pPr>
      <w:r>
        <w:rPr>
          <w:rFonts w:hint="eastAsia"/>
        </w:rPr>
        <w:t>——加减：</w:t>
      </w:r>
    </w:p>
    <w:p w14:paraId="1151319A">
      <w:pPr>
        <w:pStyle w:val="10"/>
        <w:numPr>
          <w:ilvl w:val="0"/>
          <w:numId w:val="0"/>
        </w:numPr>
        <w:autoSpaceDN w:val="0"/>
        <w:adjustRightInd w:val="0"/>
        <w:rPr>
          <w:rFonts w:hint="eastAsia"/>
        </w:rPr>
      </w:pPr>
      <w:r>
        <w:rPr>
          <w:rFonts w:hint="eastAsia"/>
        </w:rPr>
        <w:t>热重者</w:t>
      </w:r>
      <w:r>
        <w:rPr>
          <w:rFonts w:hint="eastAsia"/>
          <w:lang w:eastAsia="zh-CN"/>
        </w:rPr>
        <w:t>：</w:t>
      </w:r>
      <w:r>
        <w:rPr>
          <w:rFonts w:hint="eastAsia"/>
        </w:rPr>
        <w:t>加棵天岗（虎杖）、龙胆；</w:t>
      </w:r>
    </w:p>
    <w:p w14:paraId="09E75034">
      <w:pPr>
        <w:pStyle w:val="10"/>
        <w:numPr>
          <w:ilvl w:val="0"/>
          <w:numId w:val="0"/>
        </w:numPr>
        <w:autoSpaceDN w:val="0"/>
        <w:adjustRightInd w:val="0"/>
        <w:rPr>
          <w:rFonts w:hint="eastAsia"/>
        </w:rPr>
      </w:pPr>
      <w:r>
        <w:rPr>
          <w:rFonts w:hint="eastAsia"/>
        </w:rPr>
        <w:t>湿重者</w:t>
      </w:r>
      <w:r>
        <w:rPr>
          <w:rFonts w:hint="eastAsia"/>
          <w:lang w:eastAsia="zh-CN"/>
        </w:rPr>
        <w:t>：</w:t>
      </w:r>
      <w:r>
        <w:rPr>
          <w:rFonts w:hint="eastAsia"/>
        </w:rPr>
        <w:t>加猪苓、茯苓、码林柔（滑石）；</w:t>
      </w:r>
    </w:p>
    <w:p w14:paraId="707ED83C">
      <w:pPr>
        <w:pStyle w:val="10"/>
        <w:numPr>
          <w:ilvl w:val="0"/>
          <w:numId w:val="0"/>
        </w:numPr>
        <w:autoSpaceDN w:val="0"/>
        <w:adjustRightInd w:val="0"/>
        <w:rPr>
          <w:rFonts w:hint="eastAsia"/>
        </w:rPr>
      </w:pPr>
      <w:r>
        <w:rPr>
          <w:rFonts w:hint="eastAsia"/>
        </w:rPr>
        <w:t>呕吐者</w:t>
      </w:r>
      <w:r>
        <w:rPr>
          <w:rFonts w:hint="eastAsia"/>
          <w:lang w:eastAsia="zh-CN"/>
        </w:rPr>
        <w:t>：</w:t>
      </w:r>
      <w:r>
        <w:rPr>
          <w:rFonts w:hint="eastAsia"/>
        </w:rPr>
        <w:t>加半夏、竹茹；</w:t>
      </w:r>
    </w:p>
    <w:p w14:paraId="032239E3">
      <w:pPr>
        <w:pStyle w:val="10"/>
        <w:numPr>
          <w:ilvl w:val="0"/>
          <w:numId w:val="0"/>
        </w:numPr>
        <w:autoSpaceDN w:val="0"/>
        <w:adjustRightInd w:val="0"/>
      </w:pPr>
      <w:r>
        <w:rPr>
          <w:rFonts w:hint="eastAsia"/>
        </w:rPr>
        <w:t>腹胀者</w:t>
      </w:r>
      <w:r>
        <w:rPr>
          <w:rFonts w:hint="eastAsia"/>
          <w:lang w:eastAsia="zh-CN"/>
        </w:rPr>
        <w:t>：</w:t>
      </w:r>
      <w:r>
        <w:rPr>
          <w:rFonts w:hint="eastAsia"/>
        </w:rPr>
        <w:t>加棵厚朴（厚朴）、枳实。</w:t>
      </w:r>
    </w:p>
    <w:p w14:paraId="431D3ADB">
      <w:pPr>
        <w:pStyle w:val="10"/>
        <w:numPr>
          <w:ilvl w:val="0"/>
          <w:numId w:val="0"/>
        </w:numPr>
        <w:autoSpaceDN w:val="0"/>
        <w:adjustRightInd w:val="0"/>
      </w:pPr>
      <w:r>
        <w:rPr>
          <w:rFonts w:hint="eastAsia"/>
        </w:rPr>
        <w:t>（1）</w:t>
      </w:r>
      <w:r>
        <w:rPr>
          <w:rFonts w:hint="eastAsia" w:ascii="黑体" w:eastAsia="黑体"/>
        </w:rPr>
        <w:t>阴证</w:t>
      </w:r>
    </w:p>
    <w:p w14:paraId="290BD9A5">
      <w:pPr>
        <w:pStyle w:val="10"/>
        <w:numPr>
          <w:ilvl w:val="0"/>
          <w:numId w:val="0"/>
        </w:numPr>
        <w:autoSpaceDN w:val="0"/>
        <w:adjustRightInd w:val="0"/>
      </w:pPr>
      <w:r>
        <w:rPr>
          <w:rFonts w:hint="eastAsia"/>
        </w:rPr>
        <w:t>——治则：祛寒毒、湿毒，退黄。</w:t>
      </w:r>
    </w:p>
    <w:p w14:paraId="4E5A09C9">
      <w:pPr>
        <w:pStyle w:val="10"/>
        <w:numPr>
          <w:ilvl w:val="0"/>
          <w:numId w:val="0"/>
        </w:numPr>
        <w:autoSpaceDN w:val="0"/>
        <w:adjustRightInd w:val="0"/>
      </w:pPr>
      <w:r>
        <w:rPr>
          <w:rFonts w:hint="eastAsia"/>
        </w:rPr>
        <w:t>——推荐方药：祛湿退黄汤（壮医经验方），服用3</w:t>
      </w:r>
      <w:r>
        <w:rPr>
          <w:rFonts w:ascii="Times New Roman"/>
        </w:rPr>
        <w:t>~</w:t>
      </w:r>
      <w:r>
        <w:rPr>
          <w:rFonts w:hint="eastAsia"/>
        </w:rPr>
        <w:t>5天，根据病情调方或遵医嘱。</w:t>
      </w:r>
    </w:p>
    <w:p w14:paraId="2D26C62B">
      <w:pPr>
        <w:pStyle w:val="10"/>
        <w:numPr>
          <w:ilvl w:val="0"/>
          <w:numId w:val="0"/>
        </w:numPr>
        <w:autoSpaceDN w:val="0"/>
        <w:adjustRightInd w:val="0"/>
      </w:pPr>
      <w:r>
        <w:rPr>
          <w:rFonts w:hint="eastAsia"/>
        </w:rPr>
        <w:t>——常用药：美黄连（十大功劳）、勾邓骂（鸡屎藤）、山花椒</w:t>
      </w:r>
      <w:r>
        <w:t xml:space="preserve"> </w:t>
      </w:r>
      <w:r>
        <w:rPr>
          <w:rFonts w:hint="eastAsia"/>
        </w:rPr>
        <w:t>（药物比例6：6：1.5）每日1剂，水煎服。</w:t>
      </w:r>
    </w:p>
    <w:p w14:paraId="6C8EF31F">
      <w:pPr>
        <w:pStyle w:val="10"/>
        <w:numPr>
          <w:ilvl w:val="0"/>
          <w:numId w:val="0"/>
        </w:numPr>
        <w:autoSpaceDN w:val="0"/>
        <w:adjustRightInd w:val="0"/>
        <w:rPr>
          <w:rFonts w:hint="eastAsia"/>
        </w:rPr>
      </w:pPr>
      <w:r>
        <w:rPr>
          <w:rFonts w:hint="eastAsia"/>
        </w:rPr>
        <w:t>——加减：</w:t>
      </w:r>
    </w:p>
    <w:p w14:paraId="229AA337">
      <w:pPr>
        <w:pStyle w:val="10"/>
        <w:numPr>
          <w:ilvl w:val="0"/>
          <w:numId w:val="0"/>
        </w:numPr>
        <w:autoSpaceDN w:val="0"/>
        <w:adjustRightInd w:val="0"/>
        <w:rPr>
          <w:rFonts w:hint="eastAsia"/>
          <w:lang w:eastAsia="zh-CN"/>
        </w:rPr>
      </w:pPr>
      <w:r>
        <w:rPr>
          <w:rFonts w:hint="eastAsia"/>
        </w:rPr>
        <w:t>寒重者</w:t>
      </w:r>
      <w:r>
        <w:rPr>
          <w:rFonts w:hint="eastAsia"/>
          <w:lang w:eastAsia="zh-CN"/>
        </w:rPr>
        <w:t>：</w:t>
      </w:r>
      <w:r>
        <w:rPr>
          <w:rFonts w:hint="eastAsia"/>
        </w:rPr>
        <w:t>加附子；肝脾肿大</w:t>
      </w:r>
      <w:r>
        <w:rPr>
          <w:rFonts w:hint="eastAsia"/>
          <w:lang w:eastAsia="zh-CN"/>
        </w:rPr>
        <w:t>：</w:t>
      </w:r>
    </w:p>
    <w:p w14:paraId="6ABA6AF9">
      <w:pPr>
        <w:pStyle w:val="10"/>
        <w:numPr>
          <w:ilvl w:val="0"/>
          <w:numId w:val="0"/>
        </w:numPr>
        <w:autoSpaceDN w:val="0"/>
        <w:adjustRightInd w:val="0"/>
        <w:rPr>
          <w:rFonts w:hint="eastAsia"/>
        </w:rPr>
      </w:pPr>
      <w:r>
        <w:rPr>
          <w:rFonts w:hint="eastAsia"/>
        </w:rPr>
        <w:t>络脉瘀阻者</w:t>
      </w:r>
      <w:r>
        <w:rPr>
          <w:rFonts w:hint="eastAsia"/>
          <w:lang w:eastAsia="zh-CN"/>
        </w:rPr>
        <w:t>：</w:t>
      </w:r>
      <w:r>
        <w:rPr>
          <w:rFonts w:hint="eastAsia"/>
        </w:rPr>
        <w:t>加三棱、京昆（莪术）；</w:t>
      </w:r>
    </w:p>
    <w:p w14:paraId="04413A99">
      <w:pPr>
        <w:pStyle w:val="10"/>
        <w:numPr>
          <w:ilvl w:val="0"/>
          <w:numId w:val="0"/>
        </w:numPr>
        <w:autoSpaceDN w:val="0"/>
        <w:adjustRightInd w:val="0"/>
      </w:pPr>
      <w:r>
        <w:rPr>
          <w:rFonts w:hint="eastAsia"/>
        </w:rPr>
        <w:t>食少纳呆者</w:t>
      </w:r>
      <w:r>
        <w:rPr>
          <w:rFonts w:hint="eastAsia"/>
          <w:lang w:eastAsia="zh-CN"/>
        </w:rPr>
        <w:t>：</w:t>
      </w:r>
      <w:r>
        <w:rPr>
          <w:rFonts w:hint="eastAsia"/>
        </w:rPr>
        <w:t>加多漏（六神曲）、棵砂仁（砂仁）。</w:t>
      </w:r>
    </w:p>
    <w:p w14:paraId="2841A19B">
      <w:pPr>
        <w:pStyle w:val="8"/>
        <w:spacing w:before="120" w:after="120"/>
        <w:ind w:left="0"/>
      </w:pPr>
      <w:bookmarkStart w:id="180" w:name="_Toc220007727"/>
      <w:bookmarkStart w:id="181" w:name="_Toc225706344"/>
      <w:bookmarkStart w:id="182" w:name="_Toc224584389"/>
      <w:bookmarkStart w:id="183" w:name="_Toc216087490"/>
      <w:bookmarkStart w:id="184" w:name="_Toc219921115"/>
      <w:bookmarkStart w:id="185" w:name="_Toc224594255"/>
      <w:bookmarkStart w:id="186" w:name="_Toc224575533"/>
      <w:bookmarkStart w:id="187" w:name="_Toc216087012"/>
      <w:bookmarkStart w:id="188" w:name="_Toc219834999"/>
      <w:bookmarkStart w:id="189" w:name="_Toc224754568"/>
      <w:bookmarkStart w:id="190" w:name="_Toc222611048"/>
      <w:bookmarkStart w:id="191" w:name="_Toc216441890"/>
      <w:bookmarkStart w:id="192" w:name="_Toc224664472"/>
      <w:bookmarkStart w:id="193" w:name="_Toc224536139"/>
      <w:bookmarkStart w:id="194" w:name="_Toc214277869"/>
      <w:bookmarkStart w:id="195" w:name="_Toc222864005"/>
      <w:bookmarkStart w:id="196" w:name="_Toc215428692"/>
      <w:bookmarkStart w:id="197" w:name="_Toc224752773"/>
      <w:bookmarkStart w:id="198" w:name="_Toc222594017"/>
      <w:bookmarkStart w:id="199" w:name="_Toc224583091"/>
      <w:bookmarkStart w:id="200" w:name="_Toc214051482"/>
      <w:r>
        <w:rPr>
          <w:rFonts w:hint="eastAsia"/>
        </w:rPr>
        <w:t>虚证</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397E6B1">
      <w:pPr>
        <w:pStyle w:val="6"/>
        <w:autoSpaceDE/>
        <w:ind w:firstLine="0" w:firstLineChars="0"/>
      </w:pPr>
      <w:r>
        <w:rPr>
          <w:rFonts w:hint="eastAsia"/>
        </w:rPr>
        <w:t>——治则：补虚，祛湿退黄。</w:t>
      </w:r>
    </w:p>
    <w:p w14:paraId="7C01B3DC">
      <w:pPr>
        <w:pStyle w:val="6"/>
        <w:autoSpaceDE/>
        <w:ind w:firstLine="0" w:firstLineChars="0"/>
      </w:pPr>
      <w:r>
        <w:rPr>
          <w:rFonts w:hint="eastAsia"/>
        </w:rPr>
        <w:t>——推荐方药：参附汤（《济生续方》）合生脉散（《医学启源》）加减，服用3</w:t>
      </w:r>
      <w:r>
        <w:rPr>
          <w:rFonts w:ascii="Times New Roman"/>
        </w:rPr>
        <w:t>~</w:t>
      </w:r>
      <w:r>
        <w:rPr>
          <w:rFonts w:hint="eastAsia"/>
        </w:rPr>
        <w:t>5天，根据病情调方或遵医嘱。</w:t>
      </w:r>
    </w:p>
    <w:p w14:paraId="6B132783">
      <w:pPr>
        <w:pStyle w:val="6"/>
        <w:autoSpaceDE/>
        <w:ind w:firstLine="0" w:firstLineChars="0"/>
      </w:pPr>
      <w:r>
        <w:rPr>
          <w:rFonts w:hint="eastAsia"/>
        </w:rPr>
        <w:t>——常用药：人参、附子、干姜、五味子、甲细（麦冬）、茵陈、旷金浅（金钱草）（药物比例根据病情酌情定），每日1剂，水煎，分2</w:t>
      </w:r>
      <w:r>
        <w:rPr>
          <w:rFonts w:ascii="Times New Roman"/>
        </w:rPr>
        <w:t>~</w:t>
      </w:r>
      <w:r>
        <w:rPr>
          <w:rFonts w:hint="eastAsia"/>
        </w:rPr>
        <w:t>3次服。</w:t>
      </w:r>
    </w:p>
    <w:p w14:paraId="06833593">
      <w:pPr>
        <w:pStyle w:val="6"/>
        <w:autoSpaceDE/>
        <w:ind w:firstLine="0" w:firstLineChars="0"/>
        <w:rPr>
          <w:rFonts w:hint="eastAsia"/>
        </w:rPr>
      </w:pPr>
      <w:r>
        <w:rPr>
          <w:rFonts w:hint="eastAsia"/>
        </w:rPr>
        <w:t>——加减：</w:t>
      </w:r>
    </w:p>
    <w:p w14:paraId="04A2AD5E">
      <w:pPr>
        <w:pStyle w:val="6"/>
        <w:autoSpaceDE/>
        <w:ind w:firstLine="0" w:firstLineChars="0"/>
      </w:pPr>
      <w:r>
        <w:rPr>
          <w:rFonts w:hint="eastAsia"/>
        </w:rPr>
        <w:t>腹胀者</w:t>
      </w:r>
      <w:r>
        <w:rPr>
          <w:rFonts w:hint="eastAsia"/>
          <w:lang w:eastAsia="zh-CN"/>
        </w:rPr>
        <w:t>：</w:t>
      </w:r>
      <w:r>
        <w:rPr>
          <w:rFonts w:hint="eastAsia"/>
        </w:rPr>
        <w:t>加木香、香橼。</w:t>
      </w:r>
    </w:p>
    <w:p w14:paraId="38AAEC25">
      <w:pPr>
        <w:pStyle w:val="7"/>
        <w:spacing w:before="120" w:after="120"/>
      </w:pPr>
      <w:bookmarkStart w:id="201" w:name="_Toc222594018"/>
      <w:bookmarkStart w:id="202" w:name="_Toc224536140"/>
      <w:bookmarkStart w:id="203" w:name="_Toc214277870"/>
      <w:bookmarkStart w:id="204" w:name="_Toc222864006"/>
      <w:bookmarkStart w:id="205" w:name="_Toc224664473"/>
      <w:bookmarkStart w:id="206" w:name="_Toc224583092"/>
      <w:bookmarkStart w:id="207" w:name="_Toc216087013"/>
      <w:bookmarkStart w:id="208" w:name="_Toc219921116"/>
      <w:bookmarkStart w:id="209" w:name="_Toc224752774"/>
      <w:bookmarkStart w:id="210" w:name="_Toc224594256"/>
      <w:bookmarkStart w:id="211" w:name="_Toc220007728"/>
      <w:bookmarkStart w:id="212" w:name="_Toc224575534"/>
      <w:bookmarkStart w:id="213" w:name="_Toc216087491"/>
      <w:bookmarkStart w:id="214" w:name="_Toc224754569"/>
      <w:bookmarkStart w:id="215" w:name="_Toc219835000"/>
      <w:bookmarkStart w:id="216" w:name="_Toc222611049"/>
      <w:bookmarkStart w:id="217" w:name="_Toc216441891"/>
      <w:bookmarkStart w:id="218" w:name="_Toc224536115"/>
      <w:bookmarkStart w:id="219" w:name="_Toc224584390"/>
      <w:bookmarkStart w:id="220" w:name="_Toc225706345"/>
      <w:bookmarkStart w:id="221" w:name="_Toc215428693"/>
      <w:bookmarkStart w:id="222" w:name="_Toc214051483"/>
      <w:r>
        <w:rPr>
          <w:rFonts w:hint="eastAsia"/>
        </w:rPr>
        <w:t>外治疗法</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B93CCF">
      <w:pPr>
        <w:pStyle w:val="6"/>
        <w:ind w:firstLine="420"/>
        <w:rPr>
          <w:rFonts w:hint="eastAsia"/>
        </w:rPr>
      </w:pPr>
      <w:bookmarkStart w:id="223" w:name="_Toc215428694"/>
      <w:bookmarkStart w:id="224" w:name="_Toc214277871"/>
      <w:bookmarkStart w:id="225" w:name="_Toc214051484"/>
      <w:r>
        <w:rPr>
          <w:rFonts w:hint="eastAsia"/>
        </w:rPr>
        <w:t>外治疗法的医疗卫生标准及手卫生标准</w:t>
      </w:r>
      <w:bookmarkEnd w:id="223"/>
      <w:bookmarkEnd w:id="224"/>
      <w:bookmarkEnd w:id="225"/>
      <w:r>
        <w:rPr>
          <w:rFonts w:hint="eastAsia"/>
        </w:rPr>
        <w:t>应符合</w:t>
      </w:r>
      <w:r>
        <w:rPr>
          <w:rFonts w:hint="eastAsia" w:ascii="黑体" w:eastAsia="黑体"/>
        </w:rPr>
        <w:t>GB15982-2012、WS/T313-2019</w:t>
      </w:r>
      <w:r>
        <w:rPr>
          <w:rFonts w:hint="eastAsia"/>
        </w:rPr>
        <w:t>的规定。</w:t>
      </w:r>
    </w:p>
    <w:p w14:paraId="012AFC13">
      <w:pPr>
        <w:pStyle w:val="6"/>
        <w:ind w:firstLine="420"/>
        <w:rPr>
          <w:rFonts w:hint="eastAsia"/>
        </w:rPr>
      </w:pPr>
      <w:r>
        <w:rPr>
          <w:rFonts w:hint="eastAsia"/>
          <w:lang w:val="en-US" w:eastAsia="zh-CN"/>
        </w:rPr>
        <w:t>以下疗法选其一或联合治疗</w:t>
      </w:r>
    </w:p>
    <w:p w14:paraId="52102CF0">
      <w:pPr>
        <w:pStyle w:val="8"/>
        <w:spacing w:before="120" w:after="120"/>
        <w:ind w:left="0"/>
      </w:pPr>
      <w:bookmarkStart w:id="226" w:name="_Toc214051486"/>
      <w:bookmarkStart w:id="227" w:name="_Toc222864008"/>
      <w:bookmarkStart w:id="228" w:name="_Toc216441893"/>
      <w:bookmarkStart w:id="229" w:name="_Toc216087493"/>
      <w:bookmarkStart w:id="230" w:name="_Toc219921118"/>
      <w:bookmarkStart w:id="231" w:name="_Toc222594020"/>
      <w:bookmarkStart w:id="232" w:name="_Toc216087015"/>
      <w:bookmarkStart w:id="233" w:name="_Toc222611051"/>
      <w:bookmarkStart w:id="234" w:name="_Toc214277873"/>
      <w:bookmarkStart w:id="235" w:name="_Toc215428696"/>
      <w:bookmarkStart w:id="236" w:name="_Toc219835002"/>
      <w:bookmarkStart w:id="237" w:name="_Toc220007730"/>
      <w:bookmarkStart w:id="238" w:name="_Toc224752775"/>
      <w:bookmarkStart w:id="239" w:name="_Toc224575536"/>
      <w:bookmarkStart w:id="240" w:name="_Toc224584392"/>
      <w:bookmarkStart w:id="241" w:name="_Toc224594257"/>
      <w:bookmarkStart w:id="242" w:name="_Toc224536142"/>
      <w:bookmarkStart w:id="243" w:name="_Toc224754570"/>
      <w:bookmarkStart w:id="244" w:name="_Toc224583094"/>
      <w:bookmarkStart w:id="245" w:name="_Toc225706346"/>
      <w:bookmarkStart w:id="246" w:name="_Toc224664474"/>
      <w:r>
        <w:rPr>
          <w:rFonts w:hint="eastAsia"/>
        </w:rPr>
        <w:t>壮医点穴疗法</w:t>
      </w:r>
      <w:bookmarkEnd w:id="226"/>
      <w:bookmarkEnd w:id="227"/>
      <w:bookmarkEnd w:id="228"/>
      <w:bookmarkEnd w:id="229"/>
      <w:bookmarkEnd w:id="230"/>
      <w:bookmarkEnd w:id="231"/>
      <w:bookmarkEnd w:id="232"/>
      <w:bookmarkEnd w:id="233"/>
      <w:bookmarkEnd w:id="234"/>
      <w:bookmarkEnd w:id="235"/>
      <w:bookmarkEnd w:id="236"/>
      <w:bookmarkEnd w:id="237"/>
      <w:r>
        <w:rPr>
          <w:rFonts w:hint="eastAsia"/>
        </w:rPr>
        <w:t>（T/CMAM U5-2023、T/CMAM U13-2023、GB/Z40893.4-2021）</w:t>
      </w:r>
      <w:bookmarkEnd w:id="238"/>
      <w:bookmarkEnd w:id="239"/>
      <w:bookmarkEnd w:id="240"/>
      <w:bookmarkEnd w:id="241"/>
      <w:bookmarkEnd w:id="242"/>
      <w:bookmarkEnd w:id="243"/>
      <w:bookmarkEnd w:id="244"/>
      <w:bookmarkEnd w:id="245"/>
      <w:bookmarkEnd w:id="246"/>
    </w:p>
    <w:p w14:paraId="64394807">
      <w:pPr>
        <w:pStyle w:val="6"/>
        <w:ind w:firstLine="420"/>
      </w:pPr>
      <w:r>
        <w:rPr>
          <w:rFonts w:hint="eastAsia"/>
        </w:rPr>
        <w:t>（1）适应证：阳证，阴证，虚证。</w:t>
      </w:r>
    </w:p>
    <w:p w14:paraId="0297A9EB">
      <w:pPr>
        <w:pStyle w:val="6"/>
        <w:ind w:firstLine="420"/>
      </w:pPr>
      <w:r>
        <w:rPr>
          <w:rFonts w:hint="eastAsia"/>
        </w:rPr>
        <w:t>（2）操作方法</w:t>
      </w:r>
    </w:p>
    <w:p w14:paraId="009546AD">
      <w:pPr>
        <w:pStyle w:val="6"/>
        <w:ind w:firstLine="0" w:firstLineChars="0"/>
      </w:pPr>
      <w:r>
        <w:rPr>
          <w:rFonts w:hint="eastAsia"/>
        </w:rPr>
        <w:t>——物品准备：治疗床、治疗巾、山茶油。</w:t>
      </w:r>
    </w:p>
    <w:p w14:paraId="07F19F47">
      <w:pPr>
        <w:pStyle w:val="6"/>
        <w:ind w:firstLine="0" w:firstLineChars="0"/>
      </w:pPr>
      <w:r>
        <w:rPr>
          <w:rFonts w:hint="eastAsia"/>
        </w:rPr>
        <w:t>——操作手法：选穴及操作方法：取肾经、肝经、脾经、胃经、大肠、小肠、推三关、搓摩胁肋、分推肋缘下、顺时针摩腹、推箕门、七节骨等穴进行辨证辨病选穴，补泻方法的运用取决于疾病的症候，一般手法方向向心为补、离心为泻，手法力度轻为补，重为泻，手法速度频率慢为补，频率快为泻。</w:t>
      </w:r>
    </w:p>
    <w:p w14:paraId="332A3FA0">
      <w:pPr>
        <w:pStyle w:val="6"/>
        <w:ind w:firstLine="0" w:firstLineChars="0"/>
      </w:pPr>
      <w:r>
        <w:rPr>
          <w:rFonts w:hint="eastAsia"/>
        </w:rPr>
        <w:t>——治疗时间：小儿推拿治疗操作时间可根据年龄、病情、体质等情况而定。一般每穴的操作时间为</w:t>
      </w:r>
      <w:r>
        <w:t>1</w:t>
      </w:r>
      <w:r>
        <w:rPr>
          <w:rFonts w:ascii="Times New Roman"/>
        </w:rPr>
        <w:t>~</w:t>
      </w:r>
      <w:r>
        <w:t>2</w:t>
      </w:r>
      <w:r>
        <w:rPr>
          <w:rFonts w:hint="eastAsia"/>
        </w:rPr>
        <w:t>分钟，</w:t>
      </w:r>
      <w:r>
        <w:t>1</w:t>
      </w:r>
      <w:r>
        <w:rPr>
          <w:rFonts w:hint="eastAsia"/>
        </w:rPr>
        <w:t>次总的治疗时间为15</w:t>
      </w:r>
      <w:r>
        <w:rPr>
          <w:rFonts w:ascii="Times New Roman"/>
        </w:rPr>
        <w:t>~</w:t>
      </w:r>
      <w:r>
        <w:rPr>
          <w:rFonts w:hint="eastAsia"/>
        </w:rPr>
        <w:t>2</w:t>
      </w:r>
      <w:r>
        <w:t>0</w:t>
      </w:r>
      <w:r>
        <w:rPr>
          <w:rFonts w:hint="eastAsia"/>
        </w:rPr>
        <w:t>分钟。对于年龄小、体质弱、采用刺激性较强的手法者可适当缩短操作时间。</w:t>
      </w:r>
    </w:p>
    <w:p w14:paraId="140F6BDC">
      <w:pPr>
        <w:pStyle w:val="6"/>
        <w:ind w:firstLine="0" w:firstLineChars="0"/>
        <w:rPr>
          <w:rFonts w:eastAsiaTheme="minorEastAsia"/>
        </w:rPr>
      </w:pPr>
      <w:r>
        <w:rPr>
          <w:rFonts w:hint="eastAsia"/>
        </w:rPr>
        <w:t>——疗程：每日1次，6</w:t>
      </w:r>
      <w:r>
        <w:rPr>
          <w:rFonts w:ascii="Times New Roman"/>
        </w:rPr>
        <w:t>~</w:t>
      </w:r>
      <w:r>
        <w:rPr>
          <w:rFonts w:hint="eastAsia"/>
        </w:rPr>
        <w:t>12日为1疗程</w:t>
      </w:r>
      <w:r>
        <w:rPr>
          <w:rFonts w:hint="eastAsia" w:cs="MS Gothic" w:asciiTheme="minorEastAsia" w:hAnsiTheme="minorEastAsia" w:eastAsiaTheme="minorEastAsia"/>
        </w:rPr>
        <w:t>。</w:t>
      </w:r>
    </w:p>
    <w:p w14:paraId="5638865D">
      <w:pPr>
        <w:pStyle w:val="6"/>
        <w:ind w:firstLine="420"/>
      </w:pPr>
      <w:r>
        <w:rPr>
          <w:rFonts w:hint="eastAsia"/>
        </w:rPr>
        <w:t>（3）注意事项</w:t>
      </w:r>
    </w:p>
    <w:p w14:paraId="4EC0C8A8">
      <w:pPr>
        <w:pStyle w:val="6"/>
        <w:ind w:firstLine="0" w:firstLineChars="0"/>
      </w:pPr>
      <w:r>
        <w:rPr>
          <w:rFonts w:hint="eastAsia"/>
        </w:rPr>
        <w:t>——室内空气流通，温度适宜，用具清洁。</w:t>
      </w:r>
    </w:p>
    <w:p w14:paraId="6CBEC0A6">
      <w:pPr>
        <w:pStyle w:val="6"/>
        <w:ind w:firstLine="0" w:firstLineChars="0"/>
      </w:pPr>
      <w:r>
        <w:rPr>
          <w:rFonts w:hint="eastAsia"/>
        </w:rPr>
        <w:t>——患儿需避开过饥、过饱状态，最佳治疗时间为饭后1小时。</w:t>
      </w:r>
    </w:p>
    <w:p w14:paraId="551A7C35">
      <w:pPr>
        <w:pStyle w:val="6"/>
        <w:ind w:firstLine="0" w:firstLineChars="0"/>
      </w:pPr>
      <w:r>
        <w:rPr>
          <w:rFonts w:hint="eastAsia"/>
        </w:rPr>
        <w:t>——推拿结束后，需及时擦净患儿皮肤表面的介质及汗液，皮肤出现短暂充血泛红属正常反应，无需特殊处理。</w:t>
      </w:r>
    </w:p>
    <w:p w14:paraId="72053AA9">
      <w:pPr>
        <w:pStyle w:val="6"/>
        <w:ind w:firstLine="0" w:firstLineChars="0"/>
      </w:pPr>
      <w:r>
        <w:rPr>
          <w:rFonts w:hint="eastAsia"/>
        </w:rPr>
        <w:t>——患儿治疗完毕后，半小时内不宜进食，2小时后方可洗浴，出汗多者要及时为患儿补充水分，同时注意避风寒、保证休息，防止复感及正气耗损。</w:t>
      </w:r>
    </w:p>
    <w:p w14:paraId="76E16999">
      <w:pPr>
        <w:pStyle w:val="8"/>
        <w:spacing w:before="120" w:after="120"/>
        <w:ind w:left="0"/>
      </w:pPr>
      <w:bookmarkStart w:id="247" w:name="_Toc216087016"/>
      <w:bookmarkStart w:id="248" w:name="_Toc219921119"/>
      <w:bookmarkStart w:id="249" w:name="_Toc222611052"/>
      <w:bookmarkStart w:id="250" w:name="_Toc216087494"/>
      <w:bookmarkStart w:id="251" w:name="_Toc214277874"/>
      <w:bookmarkStart w:id="252" w:name="_Toc216441894"/>
      <w:bookmarkStart w:id="253" w:name="_Toc219835003"/>
      <w:bookmarkStart w:id="254" w:name="_Toc222594021"/>
      <w:bookmarkStart w:id="255" w:name="_Toc215428697"/>
      <w:bookmarkStart w:id="256" w:name="_Toc220007731"/>
      <w:bookmarkStart w:id="257" w:name="_Toc214051487"/>
      <w:bookmarkStart w:id="258" w:name="_Toc222864009"/>
      <w:bookmarkStart w:id="259" w:name="_Toc224536143"/>
      <w:bookmarkStart w:id="260" w:name="_Toc224583095"/>
      <w:bookmarkStart w:id="261" w:name="_Toc224754571"/>
      <w:bookmarkStart w:id="262" w:name="_Toc224664475"/>
      <w:bookmarkStart w:id="263" w:name="_Toc224575537"/>
      <w:bookmarkStart w:id="264" w:name="_Toc224584393"/>
      <w:bookmarkStart w:id="265" w:name="_Toc224752776"/>
      <w:bookmarkStart w:id="266" w:name="_Toc224594258"/>
      <w:bookmarkStart w:id="267" w:name="_Toc225706347"/>
      <w:r>
        <w:rPr>
          <w:rFonts w:hint="eastAsia"/>
        </w:rPr>
        <w:t>壮医滚蛋疗法</w:t>
      </w:r>
      <w:bookmarkEnd w:id="247"/>
      <w:bookmarkEnd w:id="248"/>
      <w:bookmarkEnd w:id="249"/>
      <w:bookmarkEnd w:id="250"/>
      <w:bookmarkEnd w:id="251"/>
      <w:bookmarkEnd w:id="252"/>
      <w:bookmarkEnd w:id="253"/>
      <w:bookmarkEnd w:id="254"/>
      <w:bookmarkEnd w:id="255"/>
      <w:bookmarkEnd w:id="256"/>
      <w:bookmarkEnd w:id="257"/>
      <w:bookmarkEnd w:id="258"/>
      <w:r>
        <w:rPr>
          <w:rFonts w:hint="eastAsia"/>
        </w:rPr>
        <w:t>（DB45/T2056-2019）</w:t>
      </w:r>
      <w:bookmarkEnd w:id="259"/>
      <w:bookmarkEnd w:id="260"/>
      <w:bookmarkEnd w:id="261"/>
      <w:bookmarkEnd w:id="262"/>
      <w:bookmarkEnd w:id="263"/>
      <w:bookmarkEnd w:id="264"/>
      <w:bookmarkEnd w:id="265"/>
      <w:bookmarkEnd w:id="266"/>
      <w:bookmarkEnd w:id="267"/>
    </w:p>
    <w:p w14:paraId="7A96DD93">
      <w:pPr>
        <w:pStyle w:val="6"/>
        <w:ind w:firstLine="420"/>
      </w:pPr>
      <w:r>
        <w:rPr>
          <w:rFonts w:hint="eastAsia"/>
        </w:rPr>
        <w:t>（1）适应证：阳证，阴证，虚证。</w:t>
      </w:r>
    </w:p>
    <w:p w14:paraId="468E3FBB">
      <w:pPr>
        <w:pStyle w:val="6"/>
        <w:ind w:firstLine="420"/>
      </w:pPr>
      <w:r>
        <w:rPr>
          <w:rFonts w:hint="eastAsia"/>
        </w:rPr>
        <w:t>（2）操作方法</w:t>
      </w:r>
    </w:p>
    <w:p w14:paraId="2C9E4A20">
      <w:pPr>
        <w:pStyle w:val="6"/>
        <w:ind w:firstLine="0" w:firstLineChars="0"/>
      </w:pPr>
      <w:r>
        <w:rPr>
          <w:rFonts w:hint="eastAsia"/>
        </w:rPr>
        <w:t>——物品准备：煎药锅、治疗巾、鸡蛋、手套、药汤碗、根据疾病辨证选取合适的中壮医药材。</w:t>
      </w:r>
    </w:p>
    <w:p w14:paraId="4A938B25">
      <w:pPr>
        <w:pStyle w:val="6"/>
        <w:ind w:firstLine="0" w:firstLineChars="0"/>
      </w:pPr>
      <w:r>
        <w:rPr>
          <w:rFonts w:hint="eastAsia"/>
        </w:rPr>
        <w:t>——参考方剂：</w:t>
      </w:r>
    </w:p>
    <w:p w14:paraId="08D6BF87">
      <w:pPr>
        <w:pStyle w:val="10"/>
        <w:numPr>
          <w:ilvl w:val="0"/>
          <w:numId w:val="0"/>
        </w:numPr>
        <w:adjustRightInd w:val="0"/>
      </w:pPr>
      <w:r>
        <w:rPr>
          <w:rFonts w:hint="eastAsia"/>
        </w:rPr>
        <w:t>壮药退黄方1：茵陈、粉给现（栀子）、棵泽泻（泽泻）、棵染拔（水杨梅）、勾浪蒿（土茯苓）、涯话耳（地耳草）、华库农（野菊花）、棵旦染（千里光）（药物比例1：1：1：1：1：1：1：1），适合阳证。</w:t>
      </w:r>
    </w:p>
    <w:p w14:paraId="19205A94">
      <w:pPr>
        <w:pStyle w:val="10"/>
        <w:numPr>
          <w:ilvl w:val="0"/>
          <w:numId w:val="0"/>
        </w:numPr>
        <w:adjustRightInd w:val="0"/>
      </w:pPr>
      <w:r>
        <w:rPr>
          <w:rFonts w:hint="eastAsia"/>
        </w:rPr>
        <w:t>壮药退黄方2：茵陈、干姜、党参、白术、苍术、吼茸（薏苡仁）、茯苓、甘草（药物比例6：3：3：4：4：6：6：2），适合阴证、虚证。</w:t>
      </w:r>
    </w:p>
    <w:p w14:paraId="59D6120E">
      <w:pPr>
        <w:pStyle w:val="6"/>
        <w:ind w:firstLine="0" w:firstLineChars="0"/>
      </w:pPr>
      <w:r>
        <w:rPr>
          <w:rFonts w:hint="eastAsia"/>
        </w:rPr>
        <w:t>——药蛋制备：上述药材加水，药材与水的比例为1：6，加入干净的鸡蛋与药材同煮20分钟。</w:t>
      </w:r>
    </w:p>
    <w:p w14:paraId="384B51ED">
      <w:pPr>
        <w:pStyle w:val="6"/>
        <w:ind w:firstLine="0" w:firstLineChars="0"/>
      </w:pPr>
      <w:r>
        <w:rPr>
          <w:rFonts w:hint="eastAsia"/>
        </w:rPr>
        <w:t>——滚蛋操作：取蛋去壳，用治疗巾将药蛋包裹好，取适量药液倒入药碗中，趁热依次在胸胁、腹部顺时针、背部脾俞、胃俞、肾俞、大肠俞等部位，反复滚动热熨，蛋凉后再次将蛋浸于药液中加热继续滚熨，滚至局部皮肤发红，微微出汗为止。</w:t>
      </w:r>
    </w:p>
    <w:p w14:paraId="5117918B">
      <w:pPr>
        <w:pStyle w:val="6"/>
        <w:ind w:firstLine="0" w:firstLineChars="0"/>
      </w:pPr>
      <w:r>
        <w:rPr>
          <w:rFonts w:hint="eastAsia"/>
        </w:rPr>
        <w:t>——治疗时间及疗程：每日1</w:t>
      </w:r>
      <w:r>
        <w:rPr>
          <w:rFonts w:ascii="Times New Roman"/>
        </w:rPr>
        <w:t>~</w:t>
      </w:r>
      <w:r>
        <w:rPr>
          <w:rFonts w:hint="eastAsia"/>
        </w:rPr>
        <w:t>2次，6日为1疗程。</w:t>
      </w:r>
    </w:p>
    <w:p w14:paraId="307A320C">
      <w:pPr>
        <w:pStyle w:val="6"/>
        <w:ind w:firstLine="420"/>
      </w:pPr>
      <w:r>
        <w:rPr>
          <w:rFonts w:hint="eastAsia"/>
        </w:rPr>
        <w:t>（3）注意事项</w:t>
      </w:r>
    </w:p>
    <w:p w14:paraId="76F5B6AB">
      <w:pPr>
        <w:pStyle w:val="6"/>
        <w:ind w:firstLine="0" w:firstLineChars="0"/>
      </w:pPr>
      <w:r>
        <w:rPr>
          <w:rFonts w:hint="eastAsia"/>
        </w:rPr>
        <w:t>——有开放性创口、感染性病灶、鸡蛋及药物成分过敏者不宜用该疗法。</w:t>
      </w:r>
    </w:p>
    <w:p w14:paraId="3CF8524F">
      <w:pPr>
        <w:pStyle w:val="6"/>
        <w:ind w:firstLine="0" w:firstLineChars="0"/>
      </w:pPr>
      <w:r>
        <w:rPr>
          <w:rFonts w:hint="eastAsia"/>
        </w:rPr>
        <w:t>——蛋的温度以患者能忍受为度，避免烫伤。</w:t>
      </w:r>
    </w:p>
    <w:p w14:paraId="03B41BEE">
      <w:pPr>
        <w:pStyle w:val="6"/>
        <w:ind w:firstLine="0" w:firstLineChars="0"/>
      </w:pPr>
      <w:r>
        <w:rPr>
          <w:rFonts w:hint="eastAsia"/>
        </w:rPr>
        <w:t>——滚过的蛋不宜再食用。</w:t>
      </w:r>
    </w:p>
    <w:p w14:paraId="27814C2A">
      <w:pPr>
        <w:pStyle w:val="5"/>
        <w:spacing w:before="240" w:after="240"/>
      </w:pPr>
      <w:r>
        <w:rPr>
          <w:rFonts w:hint="eastAsia"/>
          <w:lang w:val="en-US" w:eastAsia="zh-CN"/>
        </w:rPr>
        <w:t>护理调摄</w:t>
      </w:r>
    </w:p>
    <w:p w14:paraId="0C10FD87">
      <w:pPr>
        <w:pStyle w:val="7"/>
        <w:spacing w:before="120" w:after="120"/>
      </w:pPr>
      <w:bookmarkStart w:id="268" w:name="_Toc216441901"/>
      <w:bookmarkStart w:id="269" w:name="_Toc224754574"/>
      <w:bookmarkStart w:id="270" w:name="_Toc216087023"/>
      <w:bookmarkStart w:id="271" w:name="_Toc215428704"/>
      <w:bookmarkStart w:id="272" w:name="_Toc225706350"/>
      <w:bookmarkStart w:id="273" w:name="_Toc224536117"/>
      <w:bookmarkStart w:id="274" w:name="_Toc224594261"/>
      <w:bookmarkStart w:id="275" w:name="_Toc224583101"/>
      <w:bookmarkStart w:id="276" w:name="_Toc224664478"/>
      <w:bookmarkStart w:id="277" w:name="_Toc224752779"/>
      <w:bookmarkStart w:id="278" w:name="_Toc224575543"/>
      <w:bookmarkStart w:id="279" w:name="_Toc214051495"/>
      <w:bookmarkStart w:id="280" w:name="_Toc219835010"/>
      <w:bookmarkStart w:id="281" w:name="_Toc222594027"/>
      <w:bookmarkStart w:id="282" w:name="_Toc219921126"/>
      <w:bookmarkStart w:id="283" w:name="_Toc220007738"/>
      <w:bookmarkStart w:id="284" w:name="_Toc224584399"/>
      <w:bookmarkStart w:id="285" w:name="_Toc216087501"/>
      <w:bookmarkStart w:id="286" w:name="_Toc224536149"/>
      <w:bookmarkStart w:id="287" w:name="_Toc222611058"/>
      <w:bookmarkStart w:id="288" w:name="_Toc214277881"/>
      <w:bookmarkStart w:id="289" w:name="_Toc222864015"/>
      <w:r>
        <w:rPr>
          <w:rFonts w:hint="eastAsia"/>
        </w:rPr>
        <w:t>饮食</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85E991A">
      <w:pPr>
        <w:pStyle w:val="6"/>
        <w:ind w:firstLine="0" w:firstLineChars="0"/>
      </w:pPr>
      <w:r>
        <w:rPr>
          <w:rFonts w:hint="eastAsia"/>
        </w:rPr>
        <w:t xml:space="preserve">——妊娠期间注意饮食卫生，忌酒和辛热之品，不可滥用药物。 </w:t>
      </w:r>
    </w:p>
    <w:p w14:paraId="61B966AC">
      <w:pPr>
        <w:pStyle w:val="6"/>
        <w:ind w:firstLine="0" w:firstLineChars="0"/>
      </w:pPr>
      <w:r>
        <w:rPr>
          <w:rFonts w:hint="eastAsia"/>
        </w:rPr>
        <w:t>——尽早开奶，规律喂养，避免过饥过饱，促进胎粪顺利排出，减少高胆红素血症的发生。</w:t>
      </w:r>
    </w:p>
    <w:p w14:paraId="02DA607F">
      <w:pPr>
        <w:pStyle w:val="7"/>
        <w:spacing w:before="120" w:after="120"/>
      </w:pPr>
      <w:bookmarkStart w:id="290" w:name="_Toc222594028"/>
      <w:bookmarkStart w:id="291" w:name="_Toc224664479"/>
      <w:bookmarkStart w:id="292" w:name="_Toc224575544"/>
      <w:bookmarkStart w:id="293" w:name="_Toc224536118"/>
      <w:bookmarkStart w:id="294" w:name="_Toc224536150"/>
      <w:bookmarkStart w:id="295" w:name="_Toc214277882"/>
      <w:bookmarkStart w:id="296" w:name="_Toc222611059"/>
      <w:bookmarkStart w:id="297" w:name="_Toc222864016"/>
      <w:bookmarkStart w:id="298" w:name="_Toc220007739"/>
      <w:bookmarkStart w:id="299" w:name="_Toc216441902"/>
      <w:bookmarkStart w:id="300" w:name="_Toc216087024"/>
      <w:bookmarkStart w:id="301" w:name="_Toc225706351"/>
      <w:bookmarkStart w:id="302" w:name="_Toc216087502"/>
      <w:bookmarkStart w:id="303" w:name="_Toc219835011"/>
      <w:bookmarkStart w:id="304" w:name="_Toc224583102"/>
      <w:bookmarkStart w:id="305" w:name="_Toc224752780"/>
      <w:bookmarkStart w:id="306" w:name="_Toc224584400"/>
      <w:bookmarkStart w:id="307" w:name="_Toc215428705"/>
      <w:bookmarkStart w:id="308" w:name="_Toc224594262"/>
      <w:bookmarkStart w:id="309" w:name="_Toc224754575"/>
      <w:bookmarkStart w:id="310" w:name="_Toc214051496"/>
      <w:bookmarkStart w:id="311" w:name="_Toc219921127"/>
      <w:r>
        <w:rPr>
          <w:rFonts w:hint="eastAsia"/>
        </w:rPr>
        <w:t>起居</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225E04">
      <w:pPr>
        <w:pStyle w:val="6"/>
        <w:ind w:firstLine="0" w:firstLineChars="0"/>
      </w:pPr>
      <w:r>
        <w:rPr>
          <w:rFonts w:hint="eastAsia"/>
        </w:rPr>
        <w:t>——室温恒定，增加日光照时间。</w:t>
      </w:r>
    </w:p>
    <w:p w14:paraId="0CF7AD7D">
      <w:pPr>
        <w:pStyle w:val="6"/>
        <w:ind w:firstLine="0" w:firstLineChars="0"/>
      </w:pPr>
      <w:r>
        <w:rPr>
          <w:rFonts w:hint="eastAsia"/>
        </w:rPr>
        <w:t>——新生儿口腔黏膜、脐部、臀部和皮肤避免损伤及感染，注意保暖。</w:t>
      </w:r>
    </w:p>
    <w:p w14:paraId="65E3CE3C">
      <w:pPr>
        <w:pStyle w:val="7"/>
        <w:spacing w:before="120" w:after="120"/>
      </w:pPr>
      <w:bookmarkStart w:id="312" w:name="_Toc224752781"/>
      <w:bookmarkStart w:id="313" w:name="_Toc224754576"/>
      <w:bookmarkStart w:id="314" w:name="_Toc225706352"/>
      <w:bookmarkStart w:id="315" w:name="_Toc224594263"/>
      <w:bookmarkStart w:id="316" w:name="_Toc224664480"/>
      <w:r>
        <w:rPr>
          <w:rFonts w:hint="eastAsia"/>
        </w:rPr>
        <w:t>密切观察</w:t>
      </w:r>
      <w:bookmarkEnd w:id="312"/>
      <w:bookmarkEnd w:id="313"/>
      <w:bookmarkEnd w:id="314"/>
      <w:bookmarkEnd w:id="315"/>
      <w:bookmarkEnd w:id="316"/>
    </w:p>
    <w:p w14:paraId="515C4902">
      <w:pPr>
        <w:pStyle w:val="6"/>
        <w:ind w:firstLine="420"/>
      </w:pPr>
      <w:r>
        <w:rPr>
          <w:rFonts w:hint="eastAsia"/>
        </w:rPr>
        <w:t>注意观察患儿的全身状况，及时了解黄疸的出现时间及消退时间，及早发现重症患儿并及时治疗，防止诱发其他疾病。</w:t>
      </w:r>
      <w:bookmarkStart w:id="317" w:name="_Toc215428707"/>
      <w:bookmarkStart w:id="318" w:name="_Toc216087031"/>
      <w:bookmarkStart w:id="319" w:name="_Toc216087505"/>
      <w:bookmarkStart w:id="320" w:name="_Toc214277884"/>
      <w:bookmarkStart w:id="321" w:name="_Toc214051498"/>
      <w:bookmarkStart w:id="322" w:name="BookMark6"/>
    </w:p>
    <w:p w14:paraId="40602E38">
      <w:pPr>
        <w:pStyle w:val="6"/>
        <w:ind w:firstLine="420"/>
        <w:sectPr>
          <w:pgSz w:w="11906" w:h="16838"/>
          <w:pgMar w:top="1928" w:right="1134" w:bottom="1134" w:left="1134" w:header="1418" w:footer="1134" w:gutter="284"/>
          <w:cols w:space="425" w:num="1"/>
          <w:formProt w:val="0"/>
          <w:docGrid w:linePitch="312" w:charSpace="0"/>
        </w:sectPr>
      </w:pPr>
    </w:p>
    <w:p w14:paraId="238F3DFD">
      <w:pPr>
        <w:pStyle w:val="11"/>
        <w:rPr>
          <w:vanish w:val="0"/>
        </w:rPr>
      </w:pPr>
      <w:bookmarkStart w:id="323" w:name="BookMark5"/>
    </w:p>
    <w:p w14:paraId="38E2DF32">
      <w:pPr>
        <w:pStyle w:val="12"/>
        <w:rPr>
          <w:vanish w:val="0"/>
        </w:rPr>
      </w:pPr>
    </w:p>
    <w:p w14:paraId="04D4534F">
      <w:pPr>
        <w:pStyle w:val="13"/>
        <w:spacing w:after="120"/>
      </w:pPr>
      <w:r>
        <w:br w:type="textWrapping"/>
      </w:r>
      <w:bookmarkStart w:id="324" w:name="_Toc225706353"/>
      <w:r>
        <w:rPr>
          <w:rFonts w:hint="eastAsia"/>
        </w:rPr>
        <w:t>（资料性）</w:t>
      </w:r>
      <w:r>
        <w:br w:type="textWrapping"/>
      </w:r>
      <w:r>
        <w:rPr>
          <w:rFonts w:hint="eastAsia"/>
        </w:rPr>
        <w:t>图1、图2</w:t>
      </w:r>
      <w:bookmarkEnd w:id="323"/>
      <w:bookmarkEnd w:id="324"/>
    </w:p>
    <w:p w14:paraId="2636FEED">
      <w:pPr>
        <w:pStyle w:val="6"/>
        <w:ind w:firstLine="0" w:firstLineChars="0"/>
        <w:jc w:val="center"/>
        <w:rPr>
          <w:strike/>
        </w:rPr>
      </w:pPr>
      <w:r>
        <w:rPr>
          <w:rFonts w:hint="eastAsia"/>
          <w:strike/>
        </w:rPr>
        <w:drawing>
          <wp:inline distT="0" distB="0" distL="114300" distR="114300">
            <wp:extent cx="5917565" cy="3196590"/>
            <wp:effectExtent l="0" t="0" r="6985" b="3810"/>
            <wp:docPr id="11" name="图片 11" descr="图片底色转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底色转换2"/>
                    <pic:cNvPicPr>
                      <a:picLocks noChangeAspect="1"/>
                    </pic:cNvPicPr>
                  </pic:nvPicPr>
                  <pic:blipFill>
                    <a:blip r:embed="rId4"/>
                    <a:stretch>
                      <a:fillRect/>
                    </a:stretch>
                  </pic:blipFill>
                  <pic:spPr>
                    <a:xfrm>
                      <a:off x="0" y="0"/>
                      <a:ext cx="5917565" cy="3196590"/>
                    </a:xfrm>
                    <a:prstGeom prst="rect">
                      <a:avLst/>
                    </a:prstGeom>
                  </pic:spPr>
                </pic:pic>
              </a:graphicData>
            </a:graphic>
          </wp:inline>
        </w:drawing>
      </w:r>
    </w:p>
    <w:p w14:paraId="193617D8">
      <w:pPr>
        <w:pStyle w:val="6"/>
        <w:ind w:firstLine="0" w:firstLineChars="0"/>
        <w:jc w:val="center"/>
        <w:rPr>
          <w:color w:val="FF0000"/>
        </w:rPr>
      </w:pPr>
      <w:r>
        <w:rPr>
          <w:rFonts w:hint="eastAsia"/>
        </w:rPr>
        <w:t>图1 生后时龄胆红素风险评估曲线（Bhutani曲线）</w:t>
      </w:r>
    </w:p>
    <w:p w14:paraId="66899299">
      <w:pPr>
        <w:pStyle w:val="6"/>
        <w:ind w:firstLine="0" w:firstLineChars="0"/>
        <w:jc w:val="center"/>
        <w:rPr>
          <w:strike/>
        </w:rPr>
      </w:pPr>
      <w:r>
        <w:rPr>
          <w:rFonts w:hint="eastAsia"/>
          <w:strike/>
        </w:rPr>
        <w:drawing>
          <wp:inline distT="0" distB="0" distL="114300" distR="114300">
            <wp:extent cx="5936615" cy="3784600"/>
            <wp:effectExtent l="0" t="0" r="6985" b="6350"/>
            <wp:docPr id="12" name="图片 12" descr="图片底色转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底色转换3"/>
                    <pic:cNvPicPr>
                      <a:picLocks noChangeAspect="1"/>
                    </pic:cNvPicPr>
                  </pic:nvPicPr>
                  <pic:blipFill>
                    <a:blip r:embed="rId5"/>
                    <a:stretch>
                      <a:fillRect/>
                    </a:stretch>
                  </pic:blipFill>
                  <pic:spPr>
                    <a:xfrm>
                      <a:off x="0" y="0"/>
                      <a:ext cx="5936615" cy="3784600"/>
                    </a:xfrm>
                    <a:prstGeom prst="rect">
                      <a:avLst/>
                    </a:prstGeom>
                  </pic:spPr>
                </pic:pic>
              </a:graphicData>
            </a:graphic>
          </wp:inline>
        </w:drawing>
      </w:r>
    </w:p>
    <w:p w14:paraId="78562211">
      <w:pPr>
        <w:pStyle w:val="6"/>
        <w:ind w:firstLine="0" w:firstLineChars="0"/>
        <w:jc w:val="center"/>
        <w:rPr>
          <w:color w:val="FF0000"/>
        </w:rPr>
      </w:pPr>
      <w:r>
        <w:rPr>
          <w:rFonts w:hint="eastAsia"/>
        </w:rPr>
        <w:t>图2 ＞35周新生儿不同胎龄及不同高危因素的生后小时龄光疗标准</w:t>
      </w:r>
    </w:p>
    <w:p w14:paraId="4FE73D9B">
      <w:pPr>
        <w:pStyle w:val="14"/>
        <w:spacing w:after="120"/>
      </w:pPr>
      <w:bookmarkStart w:id="325" w:name="_Toc224583104"/>
      <w:bookmarkStart w:id="326" w:name="_Toc222594030"/>
      <w:bookmarkStart w:id="327" w:name="_Toc222864018"/>
      <w:bookmarkStart w:id="328" w:name="_Toc224754577"/>
      <w:bookmarkStart w:id="329" w:name="_Toc225706354"/>
      <w:bookmarkStart w:id="330" w:name="_Toc219835013"/>
      <w:bookmarkStart w:id="331" w:name="_Toc224575546"/>
      <w:bookmarkStart w:id="332" w:name="_Toc219921129"/>
      <w:bookmarkStart w:id="333" w:name="_Toc224536120"/>
      <w:bookmarkStart w:id="334" w:name="_Toc224536152"/>
      <w:bookmarkStart w:id="335" w:name="_Toc222611061"/>
      <w:bookmarkStart w:id="336" w:name="_Toc216441907"/>
      <w:bookmarkStart w:id="337" w:name="_Toc224752782"/>
      <w:bookmarkStart w:id="338" w:name="_Toc224584402"/>
      <w:bookmarkStart w:id="339" w:name="_Toc224664481"/>
      <w:bookmarkStart w:id="340" w:name="_Toc224594264"/>
      <w:bookmarkStart w:id="341" w:name="_Toc220007741"/>
      <w:r>
        <w:rPr>
          <w:rFonts w:hint="eastAsia"/>
          <w:spacing w:val="105"/>
        </w:rPr>
        <w:t>参考文</w:t>
      </w:r>
      <w:r>
        <w:rPr>
          <w:rFonts w:hint="eastAsia"/>
        </w:rPr>
        <w:t>献</w:t>
      </w:r>
      <w:bookmarkEnd w:id="317"/>
      <w:bookmarkEnd w:id="318"/>
      <w:bookmarkEnd w:id="319"/>
      <w:bookmarkEnd w:id="320"/>
      <w:bookmarkEnd w:id="321"/>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06AEEC1">
      <w:pPr>
        <w:pStyle w:val="6"/>
        <w:ind w:firstLine="420"/>
      </w:pPr>
      <w:r>
        <w:rPr>
          <w:rFonts w:hint="eastAsia"/>
        </w:rPr>
        <w:t>[1]黄国英,孙锟,罗小平.儿科学[M].北京：人民卫生出版社,2024.</w:t>
      </w:r>
    </w:p>
    <w:p w14:paraId="5EA8BFC2">
      <w:pPr>
        <w:pStyle w:val="6"/>
        <w:ind w:firstLine="420"/>
      </w:pPr>
      <w:r>
        <w:rPr>
          <w:rFonts w:hint="eastAsia"/>
        </w:rPr>
        <w:t>[2]王天有,申昆玲,沈颖.诸福棠实用儿科学[M].北京：人民卫生出版社,2022.</w:t>
      </w:r>
    </w:p>
    <w:p w14:paraId="2EEA680C">
      <w:pPr>
        <w:pStyle w:val="6"/>
        <w:ind w:firstLine="420"/>
      </w:pPr>
      <w:r>
        <w:rPr>
          <w:rFonts w:hint="eastAsia"/>
        </w:rPr>
        <w:t>[3]庞宇舟,李伟伟.壮医内儿科学[M].北京：中国中医药出版社，2018.</w:t>
      </w:r>
    </w:p>
    <w:p w14:paraId="3C0FB9E7">
      <w:pPr>
        <w:pStyle w:val="6"/>
        <w:ind w:firstLine="420"/>
      </w:pPr>
      <w:r>
        <w:rPr>
          <w:rFonts w:hint="eastAsia"/>
        </w:rPr>
        <w:t>[4]钟鸣.壮医病证诊疗规范[M].南宁：广西科学技术出版社,2016.</w:t>
      </w:r>
    </w:p>
    <w:p w14:paraId="611FC8AC">
      <w:pPr>
        <w:pStyle w:val="6"/>
        <w:ind w:firstLine="420"/>
      </w:pPr>
      <w:r>
        <w:rPr>
          <w:rFonts w:hint="eastAsia"/>
        </w:rPr>
        <w:t>[5]秦华珍,钟鸣.壮医方剂学[M].北京：中国中医药出版社,2019.</w:t>
      </w:r>
    </w:p>
    <w:p w14:paraId="7BA83572">
      <w:pPr>
        <w:pStyle w:val="6"/>
        <w:ind w:firstLine="420"/>
      </w:pPr>
      <w:r>
        <w:rPr>
          <w:rFonts w:hint="eastAsia"/>
        </w:rPr>
        <w:t>[6]秦华珍,徐冬英.壮药学[M].北京：中国中医药出版社,2019.</w:t>
      </w:r>
    </w:p>
    <w:p w14:paraId="39F62171">
      <w:pPr>
        <w:pStyle w:val="6"/>
        <w:ind w:firstLine="420"/>
      </w:pPr>
      <w:r>
        <w:rPr>
          <w:rFonts w:hint="eastAsia"/>
        </w:rPr>
        <w:t>[7]林辰,陈攀,黎玉宣.壮医治疗学[M].南宁：广西科学技术出版社,2019：179.</w:t>
      </w:r>
    </w:p>
    <w:p w14:paraId="03DB4C4A">
      <w:pPr>
        <w:pStyle w:val="6"/>
        <w:ind w:firstLine="420"/>
      </w:pPr>
      <w:r>
        <w:rPr>
          <w:rFonts w:hint="eastAsia"/>
        </w:rPr>
        <w:t>[8]黄汉儒.中国壮医学[M].南宁：广西民族出版社,2016：325.</w:t>
      </w:r>
    </w:p>
    <w:p w14:paraId="75F5D9AB">
      <w:pPr>
        <w:pStyle w:val="6"/>
        <w:ind w:firstLine="420"/>
      </w:pPr>
      <w:r>
        <w:rPr>
          <w:rFonts w:hint="eastAsia"/>
        </w:rPr>
        <w:t>[９]林辰,吕琳.壮医外治学[M].北京：中国中医药出版社，2018.</w:t>
      </w:r>
    </w:p>
    <w:p w14:paraId="4E9BCAFD">
      <w:pPr>
        <w:pStyle w:val="6"/>
        <w:ind w:firstLine="420"/>
      </w:pPr>
      <w:r>
        <w:rPr>
          <w:rFonts w:hint="eastAsia"/>
        </w:rPr>
        <w:t>[10]岳桂华,黄国东.壮瑶医优势病种诊疗方案[M].北京：化学工业出版社，2022.</w:t>
      </w:r>
    </w:p>
    <w:p w14:paraId="6A743A03">
      <w:pPr>
        <w:pStyle w:val="6"/>
        <w:ind w:firstLine="420"/>
      </w:pPr>
      <w:r>
        <w:rPr>
          <w:rFonts w:hint="eastAsia"/>
        </w:rPr>
        <w:t>[11]中华人民共和国卫生部.医院消毒卫生标准：GB 15982-2012[S].中国标准出版社,2012.</w:t>
      </w:r>
    </w:p>
    <w:p w14:paraId="158F5269">
      <w:pPr>
        <w:pStyle w:val="6"/>
        <w:ind w:firstLine="420"/>
      </w:pPr>
      <w:r>
        <w:rPr>
          <w:rFonts w:hint="eastAsia"/>
        </w:rPr>
        <w:t>[12]医务人员手卫生规范WS/T313-2019[J].中华医院感染学杂志,2020,30（05）：796.</w:t>
      </w:r>
    </w:p>
    <w:p w14:paraId="36EF62D6">
      <w:pPr>
        <w:pStyle w:val="6"/>
        <w:ind w:left="420" w:leftChars="200" w:firstLine="0" w:firstLineChars="0"/>
      </w:pPr>
      <w:r>
        <w:rPr>
          <w:rFonts w:hint="eastAsia"/>
        </w:rPr>
        <w:t>[13]中国民族医药学会.壮医点穴技术操作规范：T/CMAM U5-2023[S].北京：中国质量标准出版传媒有限公司中国标准出版社,2023.</w:t>
      </w:r>
    </w:p>
    <w:p w14:paraId="451F92D7">
      <w:pPr>
        <w:pStyle w:val="6"/>
        <w:ind w:left="420" w:leftChars="200" w:firstLine="0" w:firstLineChars="0"/>
      </w:pPr>
      <w:r>
        <w:rPr>
          <w:rFonts w:hint="eastAsia"/>
        </w:rPr>
        <w:t>[14]中国民族医药学会.壮医小儿经筋推拿操作规范：T/CMAM U13-2023[S].北京：中国质量标准出版传媒有限公司中国标准出版社,2023.</w:t>
      </w:r>
    </w:p>
    <w:p w14:paraId="1E14A12C">
      <w:pPr>
        <w:pStyle w:val="6"/>
        <w:ind w:left="420" w:leftChars="200" w:firstLine="0" w:firstLineChars="0"/>
      </w:pPr>
      <w:r>
        <w:rPr>
          <w:rFonts w:hint="eastAsia"/>
        </w:rPr>
        <w:t>[15]全国中医标准化技术委员会（SAC/TC 478）.中医技术操作规范 儿科 第4部分：小儿推拿疗法： GB/Z 40893.4-2021[S].中国标准出版社,2021.</w:t>
      </w:r>
    </w:p>
    <w:p w14:paraId="7B0838B5">
      <w:pPr>
        <w:pStyle w:val="6"/>
        <w:ind w:left="420" w:leftChars="200" w:firstLine="0" w:firstLineChars="0"/>
      </w:pPr>
      <w:r>
        <w:rPr>
          <w:rFonts w:hint="eastAsia"/>
        </w:rPr>
        <w:t>[16]DB45/T 2056-2019 瑶医滚蛋疗法操作规范[S].南宁：广西科学技术出版社,2020.</w:t>
      </w:r>
    </w:p>
    <w:bookmarkEnd w:id="322"/>
    <w:p w14:paraId="4245D804">
      <w:pPr>
        <w:pStyle w:val="6"/>
        <w:ind w:firstLine="0" w:firstLineChars="0"/>
        <w:jc w:val="center"/>
      </w:pPr>
      <w:bookmarkStart w:id="342"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6"/>
                    <a:stretch>
                      <a:fillRect/>
                    </a:stretch>
                  </pic:blipFill>
                  <pic:spPr>
                    <a:xfrm>
                      <a:off x="0" y="0"/>
                      <a:ext cx="1485900" cy="317500"/>
                    </a:xfrm>
                    <a:prstGeom prst="rect">
                      <a:avLst/>
                    </a:prstGeom>
                  </pic:spPr>
                </pic:pic>
              </a:graphicData>
            </a:graphic>
          </wp:inline>
        </w:drawing>
      </w:r>
      <w:bookmarkEnd w:id="342"/>
    </w:p>
    <w:p w14:paraId="5DCA5A61"/>
    <w:sectPr>
      <w:pgSz w:w="11906" w:h="16838"/>
      <w:pgMar w:top="1928"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10"/>
      <w:lvlText w:val="%1——"/>
      <w:lvlJc w:val="left"/>
      <w:pPr>
        <w:tabs>
          <w:tab w:val="left" w:pos="710"/>
        </w:tabs>
        <w:ind w:left="710" w:hanging="426"/>
      </w:pPr>
      <w:rPr>
        <w:rFonts w:hint="eastAsia" w:ascii="宋体" w:hAnsi="Times New Roman" w:eastAsia="宋体"/>
        <w:b w:val="0"/>
        <w:i w:val="0"/>
        <w:sz w:val="21"/>
        <w:lang w:val="en-US"/>
      </w:rPr>
    </w:lvl>
    <w:lvl w:ilvl="1" w:tentative="0">
      <w:start w:val="1"/>
      <w:numFmt w:val="none"/>
      <w:lvlText w:val=""/>
      <w:lvlJc w:val="left"/>
      <w:pPr>
        <w:ind w:left="710" w:hanging="431"/>
      </w:pPr>
      <w:rPr>
        <w:rFonts w:hint="default" w:ascii="Symbol" w:hAnsi="Symbol"/>
        <w:sz w:val="21"/>
      </w:rPr>
    </w:lvl>
    <w:lvl w:ilvl="2" w:tentative="0">
      <w:start w:val="1"/>
      <w:numFmt w:val="bullet"/>
      <w:lvlText w:val=""/>
      <w:lvlJc w:val="left"/>
      <w:pPr>
        <w:ind w:left="710" w:hanging="426"/>
      </w:pPr>
      <w:rPr>
        <w:rFonts w:hint="default" w:ascii="Wingdings" w:hAnsi="Wingdings"/>
        <w:sz w:val="21"/>
      </w:rPr>
    </w:lvl>
    <w:lvl w:ilvl="3" w:tentative="0">
      <w:start w:val="1"/>
      <w:numFmt w:val="decimal"/>
      <w:lvlText w:val="%4."/>
      <w:lvlJc w:val="left"/>
      <w:pPr>
        <w:tabs>
          <w:tab w:val="left" w:pos="1930"/>
        </w:tabs>
        <w:ind w:left="1743" w:hanging="528"/>
      </w:pPr>
      <w:rPr>
        <w:rFonts w:hint="eastAsia"/>
      </w:rPr>
    </w:lvl>
    <w:lvl w:ilvl="4" w:tentative="0">
      <w:start w:val="1"/>
      <w:numFmt w:val="lowerLetter"/>
      <w:lvlText w:val="%5)"/>
      <w:lvlJc w:val="left"/>
      <w:pPr>
        <w:tabs>
          <w:tab w:val="left" w:pos="2242"/>
        </w:tabs>
        <w:ind w:left="2055" w:hanging="528"/>
      </w:pPr>
      <w:rPr>
        <w:rFonts w:hint="eastAsia"/>
      </w:rPr>
    </w:lvl>
    <w:lvl w:ilvl="5" w:tentative="0">
      <w:start w:val="1"/>
      <w:numFmt w:val="lowerRoman"/>
      <w:lvlText w:val="%6."/>
      <w:lvlJc w:val="right"/>
      <w:pPr>
        <w:tabs>
          <w:tab w:val="left" w:pos="2554"/>
        </w:tabs>
        <w:ind w:left="2367" w:hanging="528"/>
      </w:pPr>
      <w:rPr>
        <w:rFonts w:hint="eastAsia"/>
      </w:rPr>
    </w:lvl>
    <w:lvl w:ilvl="6" w:tentative="0">
      <w:start w:val="1"/>
      <w:numFmt w:val="decimal"/>
      <w:lvlText w:val="%7."/>
      <w:lvlJc w:val="left"/>
      <w:pPr>
        <w:tabs>
          <w:tab w:val="left" w:pos="2866"/>
        </w:tabs>
        <w:ind w:left="2679" w:hanging="528"/>
      </w:pPr>
      <w:rPr>
        <w:rFonts w:hint="eastAsia"/>
      </w:rPr>
    </w:lvl>
    <w:lvl w:ilvl="7" w:tentative="0">
      <w:start w:val="1"/>
      <w:numFmt w:val="lowerLetter"/>
      <w:lvlText w:val="%8)"/>
      <w:lvlJc w:val="left"/>
      <w:pPr>
        <w:tabs>
          <w:tab w:val="left" w:pos="3178"/>
        </w:tabs>
        <w:ind w:left="2991" w:hanging="528"/>
      </w:pPr>
      <w:rPr>
        <w:rFonts w:hint="eastAsia"/>
      </w:rPr>
    </w:lvl>
    <w:lvl w:ilvl="8" w:tentative="0">
      <w:start w:val="1"/>
      <w:numFmt w:val="lowerRoman"/>
      <w:lvlText w:val="%9."/>
      <w:lvlJc w:val="right"/>
      <w:pPr>
        <w:tabs>
          <w:tab w:val="left" w:pos="3490"/>
        </w:tabs>
        <w:ind w:left="3303" w:hanging="528"/>
      </w:pPr>
      <w:rPr>
        <w:rFonts w:hint="eastAsia"/>
      </w:rPr>
    </w:lvl>
  </w:abstractNum>
  <w:abstractNum w:abstractNumId="1">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pStyle w:val="9"/>
      <w:lvlText w:val="%2）"/>
      <w:lvlJc w:val="left"/>
      <w:pPr>
        <w:tabs>
          <w:tab w:val="left" w:pos="1276"/>
        </w:tabs>
        <w:ind w:left="1276" w:hanging="425"/>
      </w:pPr>
      <w:rPr>
        <w:rFonts w:ascii="宋体" w:hAnsi="Times New Roman" w:eastAsia="宋体" w:cs="Times New Roman"/>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48802D1C"/>
    <w:multiLevelType w:val="multilevel"/>
    <w:tmpl w:val="48802D1C"/>
    <w:lvl w:ilvl="0" w:tentative="0">
      <w:start w:val="1"/>
      <w:numFmt w:val="upperLetter"/>
      <w:pStyle w:val="11"/>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603797C"/>
    <w:multiLevelType w:val="multilevel"/>
    <w:tmpl w:val="5603797C"/>
    <w:lvl w:ilvl="0" w:tentative="0">
      <w:start w:val="1"/>
      <w:numFmt w:val="upperLetter"/>
      <w:pStyle w:val="12"/>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57D3FBC"/>
    <w:multiLevelType w:val="multilevel"/>
    <w:tmpl w:val="657D3FBC"/>
    <w:lvl w:ilvl="0" w:tentative="0">
      <w:start w:val="1"/>
      <w:numFmt w:val="upperLetter"/>
      <w:pStyle w:val="13"/>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
      <w:suff w:val="nothing"/>
      <w:lvlText w:val="%1%2　"/>
      <w:lvlJc w:val="left"/>
      <w:pPr>
        <w:ind w:left="0" w:firstLine="0"/>
      </w:pPr>
      <w:rPr>
        <w:rFonts w:hint="eastAsia" w:ascii="黑体" w:eastAsia="黑体"/>
        <w:b w:val="0"/>
        <w:i w:val="0"/>
        <w:sz w:val="21"/>
      </w:rPr>
    </w:lvl>
    <w:lvl w:ilvl="2" w:tentative="0">
      <w:start w:val="1"/>
      <w:numFmt w:val="decimal"/>
      <w:pStyle w:val="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54393E"/>
    <w:rsid w:val="61543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5">
    <w:name w:val="标准文件_章标题"/>
    <w:next w:val="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
    <w:name w:val="标准文件_一级条标题"/>
    <w:basedOn w:val="5"/>
    <w:next w:val="6"/>
    <w:qFormat/>
    <w:uiPriority w:val="0"/>
    <w:pPr>
      <w:numPr>
        <w:ilvl w:val="2"/>
      </w:numPr>
      <w:spacing w:before="50" w:beforeLines="50" w:after="50" w:afterLines="50"/>
      <w:outlineLvl w:val="1"/>
    </w:pPr>
  </w:style>
  <w:style w:type="paragraph" w:customStyle="1" w:styleId="8">
    <w:name w:val="标准文件_二级条标题"/>
    <w:next w:val="6"/>
    <w:qFormat/>
    <w:uiPriority w:val="0"/>
    <w:pPr>
      <w:widowControl w:val="0"/>
      <w:numPr>
        <w:ilvl w:val="3"/>
        <w:numId w:val="1"/>
      </w:numPr>
      <w:spacing w:before="50" w:beforeLines="50" w:after="50" w:afterLines="50"/>
      <w:ind w:left="284"/>
      <w:jc w:val="both"/>
      <w:outlineLvl w:val="2"/>
    </w:pPr>
    <w:rPr>
      <w:rFonts w:ascii="黑体" w:hAnsi="Times New Roman" w:eastAsia="黑体" w:cs="Times New Roman"/>
      <w:sz w:val="21"/>
      <w:lang w:val="en-US" w:eastAsia="zh-CN" w:bidi="ar-SA"/>
    </w:rPr>
  </w:style>
  <w:style w:type="paragraph" w:customStyle="1" w:styleId="9">
    <w:name w:val="标准文件_数字编号列项（二级）"/>
    <w:qFormat/>
    <w:uiPriority w:val="0"/>
    <w:pPr>
      <w:numPr>
        <w:ilvl w:val="1"/>
        <w:numId w:val="2"/>
      </w:numPr>
      <w:tabs>
        <w:tab w:val="left" w:pos="851"/>
      </w:tabs>
      <w:jc w:val="both"/>
    </w:pPr>
    <w:rPr>
      <w:rFonts w:ascii="宋体" w:hAnsi="Times New Roman" w:eastAsia="宋体" w:cs="Times New Roman"/>
      <w:sz w:val="21"/>
      <w:lang w:val="en-US" w:eastAsia="zh-CN" w:bidi="ar-SA"/>
    </w:rPr>
  </w:style>
  <w:style w:type="paragraph" w:customStyle="1" w:styleId="10">
    <w:name w:val="标准文件_一级项"/>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1">
    <w:name w:val="标准文件_附录图标号"/>
    <w:basedOn w:val="6"/>
    <w:next w:val="6"/>
    <w:qFormat/>
    <w:uiPriority w:val="0"/>
    <w:pPr>
      <w:numPr>
        <w:ilvl w:val="0"/>
        <w:numId w:val="4"/>
      </w:numPr>
      <w:spacing w:line="14" w:lineRule="exact"/>
      <w:ind w:firstLine="0" w:firstLineChars="0"/>
      <w:jc w:val="center"/>
    </w:pPr>
    <w:rPr>
      <w:rFonts w:ascii="黑体" w:hAnsi="黑体" w:eastAsia="黑体"/>
      <w:vanish/>
      <w:sz w:val="2"/>
      <w:szCs w:val="21"/>
    </w:rPr>
  </w:style>
  <w:style w:type="paragraph" w:customStyle="1" w:styleId="12">
    <w:name w:val="标准文件_附录表标号"/>
    <w:basedOn w:val="6"/>
    <w:next w:val="6"/>
    <w:qFormat/>
    <w:uiPriority w:val="0"/>
    <w:pPr>
      <w:numPr>
        <w:ilvl w:val="0"/>
        <w:numId w:val="5"/>
      </w:numPr>
      <w:spacing w:line="14" w:lineRule="exact"/>
      <w:ind w:firstLine="0" w:firstLineChars="0"/>
      <w:jc w:val="center"/>
    </w:pPr>
    <w:rPr>
      <w:rFonts w:eastAsia="黑体"/>
      <w:vanish/>
      <w:sz w:val="2"/>
    </w:rPr>
  </w:style>
  <w:style w:type="paragraph" w:customStyle="1" w:styleId="13">
    <w:name w:val="标准文件_附录标识"/>
    <w:next w:val="6"/>
    <w:qFormat/>
    <w:uiPriority w:val="0"/>
    <w:pPr>
      <w:numPr>
        <w:ilvl w:val="0"/>
        <w:numId w:val="6"/>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4">
    <w:name w:val="标准文件_参考文献标题"/>
    <w:basedOn w:val="1"/>
    <w:next w:val="1"/>
    <w:qFormat/>
    <w:uiPriority w:val="0"/>
    <w:pPr>
      <w:shd w:val="clear" w:color="FFFFFF" w:fill="FFFFFF"/>
      <w:spacing w:before="560" w:after="50" w:afterLines="50"/>
      <w:jc w:val="center"/>
      <w:outlineLvl w:val="0"/>
    </w:pPr>
    <w:rPr>
      <w:rFonts w:ascii="黑体"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1e0d32-7089-4667-b7de-17d8fbd598f4}"/>
        <w:style w:val=""/>
        <w:category>
          <w:name w:val="常规"/>
          <w:gallery w:val="placeholder"/>
        </w:category>
        <w:types>
          <w:type w:val="bbPlcHdr"/>
        </w:types>
        <w:behaviors>
          <w:behavior w:val="content"/>
        </w:behaviors>
        <w:description w:val=""/>
        <w:guid w:val="{e11e0d32-7089-4667-b7de-17d8fbd598f4}"/>
      </w:docPartPr>
      <w:docPartBody>
        <w:p w14:paraId="09EC3D6A">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6A1E75CE78F5494CB693131D568F2F0A"/>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2026-04-28T01:27:00Z</dcterms:created>
  <dc:creator>丢丢</dc:creator>
  <cp:lastModifiedBy>丢丢</cp:lastModifiedBy>
  <dcterms:modified xsi:type="dcterms:W3CDTF">2026-04-28T01:27:16Z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7292C6D7D617429AACF59FEA8ED2E913_11</vt:lpwstr>
  </property>
  <property fmtid="{D5CDD505-2E9C-101B-9397-08002B2CF9AE}" pid="4" name="KSOTemplateDocerSaveRecord">
    <vt:lpwstr>eyJoZGlkIjoiZTgyZTNiOTczMmI4YjRhMDQ5ODQzOWQ1NDMxYjJmYTkiLCJ1c2VySWQiOiI1MTUwOTU1NTEifQ==</vt:lpwstr>
  </property>
</Properties>
</file>